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E51E2" w14:textId="77777777" w:rsidR="009A798A" w:rsidRPr="00365A7B" w:rsidRDefault="009A798A" w:rsidP="009A798A">
      <w:pPr>
        <w:suppressAutoHyphens/>
        <w:spacing w:before="130" w:line="260" w:lineRule="atLeast"/>
        <w:ind w:firstLine="539"/>
        <w:jc w:val="right"/>
        <w:rPr>
          <w:rFonts w:ascii="Cambria" w:hAnsi="Cambria" w:cs="Arial"/>
          <w:sz w:val="19"/>
          <w:szCs w:val="21"/>
        </w:rPr>
      </w:pPr>
      <w:r w:rsidRPr="00365A7B">
        <w:rPr>
          <w:rFonts w:ascii="Cambria" w:hAnsi="Cambria"/>
          <w:sz w:val="19"/>
          <w:szCs w:val="24"/>
        </w:rPr>
        <w:t>1. pielikums</w:t>
      </w:r>
      <w:r>
        <w:rPr>
          <w:rFonts w:ascii="Cambria" w:hAnsi="Cambria"/>
          <w:sz w:val="19"/>
          <w:szCs w:val="24"/>
        </w:rPr>
        <w:br/>
      </w:r>
      <w:r w:rsidRPr="00365A7B">
        <w:rPr>
          <w:rFonts w:ascii="Cambria" w:eastAsia="Times New Roman" w:hAnsi="Cambria" w:cs="Arial"/>
          <w:sz w:val="19"/>
          <w:szCs w:val="21"/>
          <w:lang w:eastAsia="lv-LV"/>
        </w:rPr>
        <w:t>Sabiedrisko pakalpojumu regulēšanas komisijas</w:t>
      </w:r>
      <w:r w:rsidRPr="00365A7B">
        <w:rPr>
          <w:rFonts w:ascii="Cambria" w:eastAsia="Times New Roman" w:hAnsi="Cambria" w:cs="Arial"/>
          <w:sz w:val="19"/>
          <w:szCs w:val="21"/>
          <w:lang w:eastAsia="lv-LV"/>
        </w:rPr>
        <w:br/>
      </w:r>
      <w:r w:rsidRPr="00365A7B">
        <w:rPr>
          <w:rFonts w:ascii="Cambria" w:hAnsi="Cambria" w:cs="Arial"/>
          <w:sz w:val="19"/>
          <w:szCs w:val="21"/>
        </w:rPr>
        <w:t>2026. gada 29. jūnija lēmumam Nr. 1/14</w:t>
      </w:r>
    </w:p>
    <w:p w14:paraId="786811E8" w14:textId="77777777" w:rsidR="009A798A" w:rsidRPr="001D1E4F" w:rsidRDefault="009A798A" w:rsidP="009A798A">
      <w:pPr>
        <w:suppressAutoHyphens/>
        <w:spacing w:before="360"/>
        <w:ind w:left="567" w:right="567"/>
        <w:jc w:val="center"/>
        <w:rPr>
          <w:rFonts w:ascii="Cambria" w:hAnsi="Cambria"/>
          <w:b/>
          <w:sz w:val="22"/>
          <w:szCs w:val="24"/>
          <w:shd w:val="clear" w:color="auto" w:fill="FFFFFF"/>
        </w:rPr>
      </w:pPr>
      <w:r w:rsidRPr="001D1E4F">
        <w:rPr>
          <w:rFonts w:ascii="Cambria" w:hAnsi="Cambria"/>
          <w:b/>
          <w:bCs/>
          <w:sz w:val="22"/>
          <w:szCs w:val="24"/>
          <w:shd w:val="clear" w:color="auto" w:fill="FFFFFF"/>
        </w:rPr>
        <w:t>Centralizētās siltumapgādes siltumenerģijas daudzuma un nepieciešamā kurināmā patēriņš</w:t>
      </w:r>
    </w:p>
    <w:p w14:paraId="4B83E412" w14:textId="77777777" w:rsidR="009A798A" w:rsidRPr="00365A7B" w:rsidRDefault="009A798A" w:rsidP="009A798A">
      <w:pPr>
        <w:suppressAutoHyphens/>
        <w:spacing w:before="130" w:line="260" w:lineRule="atLeast"/>
        <w:ind w:firstLine="539"/>
        <w:jc w:val="center"/>
        <w:rPr>
          <w:rFonts w:ascii="Cambria" w:hAnsi="Cambria"/>
          <w:sz w:val="19"/>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75"/>
        <w:gridCol w:w="4031"/>
        <w:gridCol w:w="1665"/>
        <w:gridCol w:w="2159"/>
      </w:tblGrid>
      <w:tr w:rsidR="009A798A" w:rsidRPr="007271F7" w14:paraId="2AA0CC8D" w14:textId="77777777" w:rsidTr="00F24F65">
        <w:tc>
          <w:tcPr>
            <w:tcW w:w="846" w:type="dxa"/>
            <w:vAlign w:val="center"/>
          </w:tcPr>
          <w:p w14:paraId="1DD16ADF" w14:textId="77777777" w:rsidR="009A798A" w:rsidRPr="007271F7" w:rsidRDefault="009A798A" w:rsidP="00F24F65">
            <w:pPr>
              <w:suppressAutoHyphens/>
              <w:jc w:val="center"/>
              <w:rPr>
                <w:rFonts w:ascii="Cambria" w:hAnsi="Cambria"/>
                <w:b/>
                <w:bCs/>
                <w:sz w:val="19"/>
                <w:szCs w:val="24"/>
              </w:rPr>
            </w:pPr>
            <w:r w:rsidRPr="007271F7">
              <w:rPr>
                <w:rFonts w:ascii="Cambria" w:hAnsi="Cambria"/>
                <w:b/>
                <w:bCs/>
                <w:sz w:val="19"/>
                <w:szCs w:val="24"/>
              </w:rPr>
              <w:t>Nr. p.k.</w:t>
            </w:r>
          </w:p>
        </w:tc>
        <w:tc>
          <w:tcPr>
            <w:tcW w:w="4541" w:type="dxa"/>
            <w:vAlign w:val="center"/>
          </w:tcPr>
          <w:p w14:paraId="05FDA8CF" w14:textId="77777777" w:rsidR="009A798A" w:rsidRPr="007271F7" w:rsidRDefault="009A798A" w:rsidP="00F24F65">
            <w:pPr>
              <w:suppressAutoHyphens/>
              <w:jc w:val="center"/>
              <w:rPr>
                <w:rFonts w:ascii="Cambria" w:hAnsi="Cambria"/>
                <w:b/>
                <w:bCs/>
                <w:sz w:val="19"/>
                <w:szCs w:val="24"/>
              </w:rPr>
            </w:pPr>
            <w:r w:rsidRPr="007271F7">
              <w:rPr>
                <w:rFonts w:ascii="Cambria" w:hAnsi="Cambria"/>
                <w:b/>
                <w:bCs/>
                <w:sz w:val="19"/>
                <w:szCs w:val="24"/>
              </w:rPr>
              <w:t>Nosaukums</w:t>
            </w:r>
          </w:p>
        </w:tc>
        <w:tc>
          <w:tcPr>
            <w:tcW w:w="1763" w:type="dxa"/>
            <w:vAlign w:val="center"/>
          </w:tcPr>
          <w:p w14:paraId="6F41BEB9" w14:textId="77777777" w:rsidR="009A798A" w:rsidRPr="007271F7" w:rsidRDefault="009A798A" w:rsidP="00F24F65">
            <w:pPr>
              <w:suppressAutoHyphens/>
              <w:jc w:val="center"/>
              <w:rPr>
                <w:rFonts w:ascii="Cambria" w:hAnsi="Cambria"/>
                <w:b/>
                <w:bCs/>
                <w:sz w:val="19"/>
                <w:szCs w:val="24"/>
              </w:rPr>
            </w:pPr>
            <w:r w:rsidRPr="007271F7">
              <w:rPr>
                <w:rFonts w:ascii="Cambria" w:hAnsi="Cambria"/>
                <w:b/>
                <w:bCs/>
                <w:sz w:val="19"/>
                <w:szCs w:val="24"/>
              </w:rPr>
              <w:t>Mērvienība</w:t>
            </w:r>
          </w:p>
        </w:tc>
        <w:tc>
          <w:tcPr>
            <w:tcW w:w="2260" w:type="dxa"/>
            <w:vAlign w:val="center"/>
          </w:tcPr>
          <w:p w14:paraId="483EC1E2" w14:textId="77777777" w:rsidR="009A798A" w:rsidRPr="007271F7" w:rsidRDefault="009A798A" w:rsidP="00F24F65">
            <w:pPr>
              <w:suppressAutoHyphens/>
              <w:jc w:val="center"/>
              <w:rPr>
                <w:rFonts w:ascii="Cambria" w:hAnsi="Cambria"/>
                <w:b/>
                <w:bCs/>
                <w:sz w:val="19"/>
                <w:szCs w:val="24"/>
              </w:rPr>
            </w:pPr>
            <w:r w:rsidRPr="007271F7">
              <w:rPr>
                <w:rFonts w:ascii="Cambria" w:hAnsi="Cambria"/>
                <w:b/>
                <w:bCs/>
                <w:sz w:val="19"/>
                <w:szCs w:val="24"/>
              </w:rPr>
              <w:t>Aprēķins</w:t>
            </w:r>
          </w:p>
        </w:tc>
      </w:tr>
      <w:tr w:rsidR="009A798A" w:rsidRPr="007271F7" w14:paraId="1EF9387D" w14:textId="77777777" w:rsidTr="00F24F65">
        <w:tc>
          <w:tcPr>
            <w:tcW w:w="846" w:type="dxa"/>
            <w:vAlign w:val="center"/>
          </w:tcPr>
          <w:p w14:paraId="75D401B4"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1.1</w:t>
            </w:r>
          </w:p>
        </w:tc>
        <w:tc>
          <w:tcPr>
            <w:tcW w:w="4541" w:type="dxa"/>
            <w:vAlign w:val="center"/>
          </w:tcPr>
          <w:p w14:paraId="61525757"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Uzstādītā siltuma jauda</w:t>
            </w:r>
          </w:p>
        </w:tc>
        <w:tc>
          <w:tcPr>
            <w:tcW w:w="1763" w:type="dxa"/>
            <w:vAlign w:val="center"/>
          </w:tcPr>
          <w:p w14:paraId="2EED95AC"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MW</w:t>
            </w:r>
          </w:p>
        </w:tc>
        <w:tc>
          <w:tcPr>
            <w:tcW w:w="2260" w:type="dxa"/>
            <w:vAlign w:val="center"/>
          </w:tcPr>
          <w:p w14:paraId="6B93C4FE"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QJuzst</w:t>
            </w:r>
          </w:p>
        </w:tc>
      </w:tr>
      <w:tr w:rsidR="009A798A" w:rsidRPr="007271F7" w14:paraId="640CF849" w14:textId="77777777" w:rsidTr="00F24F65">
        <w:tc>
          <w:tcPr>
            <w:tcW w:w="846" w:type="dxa"/>
            <w:vAlign w:val="center"/>
          </w:tcPr>
          <w:p w14:paraId="59F8E2C2"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1.2</w:t>
            </w:r>
          </w:p>
        </w:tc>
        <w:tc>
          <w:tcPr>
            <w:tcW w:w="4541" w:type="dxa"/>
            <w:vAlign w:val="center"/>
          </w:tcPr>
          <w:p w14:paraId="3C201407"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Uzstādītā elektriskā jauda</w:t>
            </w:r>
          </w:p>
        </w:tc>
        <w:tc>
          <w:tcPr>
            <w:tcW w:w="1763" w:type="dxa"/>
            <w:vAlign w:val="center"/>
          </w:tcPr>
          <w:p w14:paraId="35AD2B6F"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MW</w:t>
            </w:r>
          </w:p>
        </w:tc>
        <w:tc>
          <w:tcPr>
            <w:tcW w:w="2260" w:type="dxa"/>
            <w:vAlign w:val="center"/>
          </w:tcPr>
          <w:p w14:paraId="4F680176"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Ejuzst</w:t>
            </w:r>
          </w:p>
        </w:tc>
      </w:tr>
      <w:tr w:rsidR="009A798A" w:rsidRPr="007271F7" w14:paraId="2F145A5F" w14:textId="77777777" w:rsidTr="00F24F65">
        <w:tc>
          <w:tcPr>
            <w:tcW w:w="846" w:type="dxa"/>
            <w:vAlign w:val="center"/>
          </w:tcPr>
          <w:p w14:paraId="609E025A"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1.3*</w:t>
            </w:r>
          </w:p>
        </w:tc>
        <w:tc>
          <w:tcPr>
            <w:tcW w:w="4541" w:type="dxa"/>
            <w:vAlign w:val="center"/>
          </w:tcPr>
          <w:p w14:paraId="28CD1DE0"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Kopējā pieprasītā siltuma jauda</w:t>
            </w:r>
          </w:p>
        </w:tc>
        <w:tc>
          <w:tcPr>
            <w:tcW w:w="1763" w:type="dxa"/>
            <w:vAlign w:val="center"/>
          </w:tcPr>
          <w:p w14:paraId="5FFFD26B"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MW</w:t>
            </w:r>
          </w:p>
        </w:tc>
        <w:tc>
          <w:tcPr>
            <w:tcW w:w="2260" w:type="dxa"/>
            <w:vAlign w:val="center"/>
          </w:tcPr>
          <w:p w14:paraId="74384DFA"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QJpiepr</w:t>
            </w:r>
          </w:p>
        </w:tc>
      </w:tr>
      <w:tr w:rsidR="009A798A" w:rsidRPr="007271F7" w14:paraId="71703955" w14:textId="77777777" w:rsidTr="00F24F65">
        <w:tc>
          <w:tcPr>
            <w:tcW w:w="846" w:type="dxa"/>
            <w:vAlign w:val="center"/>
          </w:tcPr>
          <w:p w14:paraId="3ADBAD61"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1.4*</w:t>
            </w:r>
          </w:p>
        </w:tc>
        <w:tc>
          <w:tcPr>
            <w:tcW w:w="4541" w:type="dxa"/>
            <w:vAlign w:val="center"/>
          </w:tcPr>
          <w:p w14:paraId="189724ED"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Lietotājiem nodotā siltumenerģija</w:t>
            </w:r>
          </w:p>
        </w:tc>
        <w:tc>
          <w:tcPr>
            <w:tcW w:w="1763" w:type="dxa"/>
            <w:vAlign w:val="center"/>
          </w:tcPr>
          <w:p w14:paraId="797064E5"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MWh</w:t>
            </w:r>
          </w:p>
        </w:tc>
        <w:tc>
          <w:tcPr>
            <w:tcW w:w="2260" w:type="dxa"/>
            <w:vAlign w:val="center"/>
          </w:tcPr>
          <w:p w14:paraId="67DBAC5C"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Qpiepr</w:t>
            </w:r>
          </w:p>
        </w:tc>
      </w:tr>
      <w:tr w:rsidR="009A798A" w:rsidRPr="007271F7" w14:paraId="5B8A17C5" w14:textId="77777777" w:rsidTr="00F24F65">
        <w:tc>
          <w:tcPr>
            <w:tcW w:w="846" w:type="dxa"/>
            <w:vAlign w:val="center"/>
          </w:tcPr>
          <w:p w14:paraId="79547201"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1.5*</w:t>
            </w:r>
          </w:p>
        </w:tc>
        <w:tc>
          <w:tcPr>
            <w:tcW w:w="4541" w:type="dxa"/>
            <w:vAlign w:val="center"/>
          </w:tcPr>
          <w:p w14:paraId="37A68195"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Pārvades un sadales zudumi</w:t>
            </w:r>
          </w:p>
        </w:tc>
        <w:tc>
          <w:tcPr>
            <w:tcW w:w="1763" w:type="dxa"/>
            <w:vAlign w:val="center"/>
          </w:tcPr>
          <w:p w14:paraId="09C5F64B"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MWh</w:t>
            </w:r>
          </w:p>
        </w:tc>
        <w:tc>
          <w:tcPr>
            <w:tcW w:w="2260" w:type="dxa"/>
            <w:vAlign w:val="center"/>
          </w:tcPr>
          <w:p w14:paraId="0A864177"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Qzud</w:t>
            </w:r>
          </w:p>
        </w:tc>
      </w:tr>
      <w:tr w:rsidR="009A798A" w:rsidRPr="007271F7" w14:paraId="0BAB2CFA" w14:textId="77777777" w:rsidTr="00F24F65">
        <w:tc>
          <w:tcPr>
            <w:tcW w:w="846" w:type="dxa"/>
            <w:vAlign w:val="center"/>
          </w:tcPr>
          <w:p w14:paraId="5BBEBA7B"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1.6</w:t>
            </w:r>
          </w:p>
        </w:tc>
        <w:tc>
          <w:tcPr>
            <w:tcW w:w="4541" w:type="dxa"/>
            <w:vAlign w:val="center"/>
          </w:tcPr>
          <w:p w14:paraId="3F04D953"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Iepirktā siltumenerģija</w:t>
            </w:r>
          </w:p>
        </w:tc>
        <w:tc>
          <w:tcPr>
            <w:tcW w:w="1763" w:type="dxa"/>
            <w:vAlign w:val="center"/>
          </w:tcPr>
          <w:p w14:paraId="38121A6C"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MWh</w:t>
            </w:r>
          </w:p>
        </w:tc>
        <w:tc>
          <w:tcPr>
            <w:tcW w:w="2260" w:type="dxa"/>
            <w:vAlign w:val="center"/>
          </w:tcPr>
          <w:p w14:paraId="298C6FD6"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Qiep</w:t>
            </w:r>
          </w:p>
        </w:tc>
      </w:tr>
      <w:tr w:rsidR="009A798A" w:rsidRPr="007271F7" w14:paraId="5540E5EE" w14:textId="77777777" w:rsidTr="00F24F65">
        <w:tc>
          <w:tcPr>
            <w:tcW w:w="846" w:type="dxa"/>
            <w:vAlign w:val="center"/>
          </w:tcPr>
          <w:p w14:paraId="40E92A31"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1.7</w:t>
            </w:r>
          </w:p>
        </w:tc>
        <w:tc>
          <w:tcPr>
            <w:tcW w:w="4541" w:type="dxa"/>
            <w:vAlign w:val="center"/>
          </w:tcPr>
          <w:p w14:paraId="4C047C8E"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Siltumtīklos nodotā siltumenerģija</w:t>
            </w:r>
          </w:p>
        </w:tc>
        <w:tc>
          <w:tcPr>
            <w:tcW w:w="1763" w:type="dxa"/>
            <w:vAlign w:val="center"/>
          </w:tcPr>
          <w:p w14:paraId="632B3CDC"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MWh</w:t>
            </w:r>
          </w:p>
        </w:tc>
        <w:tc>
          <w:tcPr>
            <w:tcW w:w="2260" w:type="dxa"/>
            <w:vAlign w:val="center"/>
          </w:tcPr>
          <w:p w14:paraId="0CCAA5A2"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Qneto = Qpiepr + Qzud</w:t>
            </w:r>
          </w:p>
        </w:tc>
      </w:tr>
      <w:tr w:rsidR="009A798A" w:rsidRPr="007271F7" w14:paraId="619CB081" w14:textId="77777777" w:rsidTr="00F24F65">
        <w:tc>
          <w:tcPr>
            <w:tcW w:w="846" w:type="dxa"/>
            <w:vAlign w:val="center"/>
          </w:tcPr>
          <w:p w14:paraId="35C1D080"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1.8*</w:t>
            </w:r>
          </w:p>
        </w:tc>
        <w:tc>
          <w:tcPr>
            <w:tcW w:w="4541" w:type="dxa"/>
            <w:vAlign w:val="center"/>
          </w:tcPr>
          <w:p w14:paraId="67688DB2"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No katlu mājas nodotā siltumenerģija</w:t>
            </w:r>
          </w:p>
        </w:tc>
        <w:tc>
          <w:tcPr>
            <w:tcW w:w="1763" w:type="dxa"/>
            <w:vAlign w:val="center"/>
          </w:tcPr>
          <w:p w14:paraId="3110E5A5"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MWh</w:t>
            </w:r>
          </w:p>
        </w:tc>
        <w:tc>
          <w:tcPr>
            <w:tcW w:w="2260" w:type="dxa"/>
            <w:vAlign w:val="center"/>
          </w:tcPr>
          <w:p w14:paraId="7046A7B5"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Qk.m.=Qneto - Qiep</w:t>
            </w:r>
          </w:p>
        </w:tc>
      </w:tr>
      <w:tr w:rsidR="009A798A" w:rsidRPr="007271F7" w14:paraId="40553296" w14:textId="77777777" w:rsidTr="00F24F65">
        <w:tc>
          <w:tcPr>
            <w:tcW w:w="846" w:type="dxa"/>
            <w:vAlign w:val="center"/>
          </w:tcPr>
          <w:p w14:paraId="532C387A"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1.9*</w:t>
            </w:r>
          </w:p>
        </w:tc>
        <w:tc>
          <w:tcPr>
            <w:tcW w:w="4541" w:type="dxa"/>
            <w:vAlign w:val="center"/>
          </w:tcPr>
          <w:p w14:paraId="627F8493"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Katlu mājas siltuma pašpatēriņš</w:t>
            </w:r>
          </w:p>
        </w:tc>
        <w:tc>
          <w:tcPr>
            <w:tcW w:w="1763" w:type="dxa"/>
            <w:vAlign w:val="center"/>
          </w:tcPr>
          <w:p w14:paraId="510DD697"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MWh</w:t>
            </w:r>
          </w:p>
        </w:tc>
        <w:tc>
          <w:tcPr>
            <w:tcW w:w="2260" w:type="dxa"/>
            <w:vAlign w:val="center"/>
          </w:tcPr>
          <w:p w14:paraId="1AEE3ADF"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Qpašp</w:t>
            </w:r>
          </w:p>
        </w:tc>
      </w:tr>
      <w:tr w:rsidR="009A798A" w:rsidRPr="007271F7" w14:paraId="18FAF61C" w14:textId="77777777" w:rsidTr="00F24F65">
        <w:tc>
          <w:tcPr>
            <w:tcW w:w="846" w:type="dxa"/>
            <w:vAlign w:val="center"/>
          </w:tcPr>
          <w:p w14:paraId="1F827977"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1.10</w:t>
            </w:r>
          </w:p>
        </w:tc>
        <w:tc>
          <w:tcPr>
            <w:tcW w:w="4541" w:type="dxa"/>
            <w:vAlign w:val="center"/>
          </w:tcPr>
          <w:p w14:paraId="6B7A7CF4"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Saražotā siltumenerģija</w:t>
            </w:r>
          </w:p>
        </w:tc>
        <w:tc>
          <w:tcPr>
            <w:tcW w:w="1763" w:type="dxa"/>
            <w:vAlign w:val="center"/>
          </w:tcPr>
          <w:p w14:paraId="55189BB8"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MWh</w:t>
            </w:r>
          </w:p>
        </w:tc>
        <w:tc>
          <w:tcPr>
            <w:tcW w:w="2260" w:type="dxa"/>
            <w:vAlign w:val="center"/>
          </w:tcPr>
          <w:p w14:paraId="2C1ABE15"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Qbruto = Qk.m.+Qpašp</w:t>
            </w:r>
          </w:p>
        </w:tc>
      </w:tr>
      <w:tr w:rsidR="009A798A" w:rsidRPr="007271F7" w14:paraId="0B70916E" w14:textId="77777777" w:rsidTr="00F24F65">
        <w:tc>
          <w:tcPr>
            <w:tcW w:w="846" w:type="dxa"/>
            <w:vAlign w:val="center"/>
          </w:tcPr>
          <w:p w14:paraId="6EC058C6"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1.11</w:t>
            </w:r>
          </w:p>
        </w:tc>
        <w:tc>
          <w:tcPr>
            <w:tcW w:w="4541" w:type="dxa"/>
            <w:vAlign w:val="center"/>
          </w:tcPr>
          <w:p w14:paraId="641AA481"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Īpatnējie pārvades un sadales zudumi</w:t>
            </w:r>
          </w:p>
        </w:tc>
        <w:tc>
          <w:tcPr>
            <w:tcW w:w="1763" w:type="dxa"/>
            <w:vAlign w:val="center"/>
          </w:tcPr>
          <w:p w14:paraId="6D25DD60"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w:t>
            </w:r>
          </w:p>
        </w:tc>
        <w:tc>
          <w:tcPr>
            <w:tcW w:w="2260" w:type="dxa"/>
            <w:vAlign w:val="center"/>
          </w:tcPr>
          <w:p w14:paraId="60AA9705"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Qzud%=Qzud/Qneto x 100</w:t>
            </w:r>
          </w:p>
        </w:tc>
      </w:tr>
      <w:tr w:rsidR="009A798A" w:rsidRPr="007271F7" w14:paraId="03FE1A81" w14:textId="77777777" w:rsidTr="00F24F65">
        <w:tc>
          <w:tcPr>
            <w:tcW w:w="846" w:type="dxa"/>
            <w:vAlign w:val="center"/>
          </w:tcPr>
          <w:p w14:paraId="7887F10A"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1.12</w:t>
            </w:r>
          </w:p>
        </w:tc>
        <w:tc>
          <w:tcPr>
            <w:tcW w:w="4541" w:type="dxa"/>
            <w:vAlign w:val="center"/>
          </w:tcPr>
          <w:p w14:paraId="123702CC"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Uzstādītās jaudas izmantošanas stundu skaits</w:t>
            </w:r>
          </w:p>
        </w:tc>
        <w:tc>
          <w:tcPr>
            <w:tcW w:w="1763" w:type="dxa"/>
            <w:vAlign w:val="center"/>
          </w:tcPr>
          <w:p w14:paraId="637310D1"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stundas/gadā</w:t>
            </w:r>
          </w:p>
        </w:tc>
        <w:tc>
          <w:tcPr>
            <w:tcW w:w="2260" w:type="dxa"/>
            <w:vAlign w:val="center"/>
          </w:tcPr>
          <w:p w14:paraId="5059116B"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H = Qbruto/QJuzst</w:t>
            </w:r>
          </w:p>
        </w:tc>
      </w:tr>
      <w:tr w:rsidR="009A798A" w:rsidRPr="007271F7" w14:paraId="4053CB06" w14:textId="77777777" w:rsidTr="00F24F65">
        <w:tc>
          <w:tcPr>
            <w:tcW w:w="846" w:type="dxa"/>
            <w:vAlign w:val="center"/>
          </w:tcPr>
          <w:p w14:paraId="464B782B"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1.13</w:t>
            </w:r>
          </w:p>
        </w:tc>
        <w:tc>
          <w:tcPr>
            <w:tcW w:w="4541" w:type="dxa"/>
            <w:vAlign w:val="center"/>
          </w:tcPr>
          <w:p w14:paraId="584DD107"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Saražotā elektroenerģija</w:t>
            </w:r>
          </w:p>
        </w:tc>
        <w:tc>
          <w:tcPr>
            <w:tcW w:w="1763" w:type="dxa"/>
            <w:vAlign w:val="center"/>
          </w:tcPr>
          <w:p w14:paraId="3C58D75B"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MWh</w:t>
            </w:r>
          </w:p>
        </w:tc>
        <w:tc>
          <w:tcPr>
            <w:tcW w:w="2260" w:type="dxa"/>
            <w:vAlign w:val="center"/>
          </w:tcPr>
          <w:p w14:paraId="374A816C"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Ebruto</w:t>
            </w:r>
          </w:p>
        </w:tc>
      </w:tr>
      <w:tr w:rsidR="009A798A" w:rsidRPr="007271F7" w14:paraId="23B38F60" w14:textId="77777777" w:rsidTr="00F24F65">
        <w:tc>
          <w:tcPr>
            <w:tcW w:w="846" w:type="dxa"/>
            <w:vAlign w:val="center"/>
          </w:tcPr>
          <w:p w14:paraId="69A08742"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1.14</w:t>
            </w:r>
          </w:p>
        </w:tc>
        <w:tc>
          <w:tcPr>
            <w:tcW w:w="4541" w:type="dxa"/>
            <w:vAlign w:val="center"/>
          </w:tcPr>
          <w:p w14:paraId="4E71E643"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Pārdotā elektroenerģija</w:t>
            </w:r>
          </w:p>
        </w:tc>
        <w:tc>
          <w:tcPr>
            <w:tcW w:w="1763" w:type="dxa"/>
            <w:vAlign w:val="center"/>
          </w:tcPr>
          <w:p w14:paraId="029B78C7"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MWh</w:t>
            </w:r>
          </w:p>
        </w:tc>
        <w:tc>
          <w:tcPr>
            <w:tcW w:w="2260" w:type="dxa"/>
            <w:vAlign w:val="center"/>
          </w:tcPr>
          <w:p w14:paraId="21751501" w14:textId="77777777" w:rsidR="009A798A" w:rsidRPr="007271F7" w:rsidRDefault="009A798A" w:rsidP="00F24F65">
            <w:pPr>
              <w:suppressAutoHyphens/>
              <w:jc w:val="left"/>
              <w:rPr>
                <w:rFonts w:ascii="Cambria" w:hAnsi="Cambria"/>
                <w:b/>
                <w:bCs/>
                <w:sz w:val="19"/>
                <w:szCs w:val="24"/>
              </w:rPr>
            </w:pPr>
            <w:r w:rsidRPr="007271F7">
              <w:rPr>
                <w:rFonts w:ascii="Cambria" w:hAnsi="Cambria"/>
                <w:sz w:val="19"/>
                <w:szCs w:val="24"/>
              </w:rPr>
              <w:t>Ep</w:t>
            </w:r>
          </w:p>
        </w:tc>
      </w:tr>
      <w:tr w:rsidR="009A798A" w:rsidRPr="007271F7" w14:paraId="3E3274B2" w14:textId="77777777" w:rsidTr="00F24F65">
        <w:tc>
          <w:tcPr>
            <w:tcW w:w="846" w:type="dxa"/>
            <w:vAlign w:val="center"/>
          </w:tcPr>
          <w:p w14:paraId="3A900F58"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1.15</w:t>
            </w:r>
          </w:p>
        </w:tc>
        <w:tc>
          <w:tcPr>
            <w:tcW w:w="4541" w:type="dxa"/>
            <w:vAlign w:val="center"/>
          </w:tcPr>
          <w:p w14:paraId="43A98905"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 xml:space="preserve">Siltumenerģijas ražošanas lietderības koeficients </w:t>
            </w:r>
          </w:p>
        </w:tc>
        <w:tc>
          <w:tcPr>
            <w:tcW w:w="1763" w:type="dxa"/>
            <w:vAlign w:val="center"/>
          </w:tcPr>
          <w:p w14:paraId="59FA6DCA"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w:t>
            </w:r>
          </w:p>
        </w:tc>
        <w:tc>
          <w:tcPr>
            <w:tcW w:w="2260" w:type="dxa"/>
            <w:vAlign w:val="center"/>
          </w:tcPr>
          <w:p w14:paraId="7752CA94"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LK</w:t>
            </w:r>
          </w:p>
        </w:tc>
      </w:tr>
      <w:tr w:rsidR="009A798A" w:rsidRPr="007271F7" w14:paraId="7BB1F2E4" w14:textId="77777777" w:rsidTr="00F24F65">
        <w:tc>
          <w:tcPr>
            <w:tcW w:w="846" w:type="dxa"/>
            <w:vAlign w:val="center"/>
          </w:tcPr>
          <w:p w14:paraId="30B39DEB"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1.16</w:t>
            </w:r>
          </w:p>
        </w:tc>
        <w:tc>
          <w:tcPr>
            <w:tcW w:w="4541" w:type="dxa"/>
            <w:vAlign w:val="center"/>
          </w:tcPr>
          <w:p w14:paraId="75BDFE42"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 xml:space="preserve">Kurināmā patēriņš enerģijas vienībās </w:t>
            </w:r>
          </w:p>
        </w:tc>
        <w:tc>
          <w:tcPr>
            <w:tcW w:w="1763" w:type="dxa"/>
            <w:vAlign w:val="center"/>
          </w:tcPr>
          <w:p w14:paraId="14D02B88"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MWh</w:t>
            </w:r>
          </w:p>
        </w:tc>
        <w:tc>
          <w:tcPr>
            <w:tcW w:w="2260" w:type="dxa"/>
            <w:vAlign w:val="center"/>
          </w:tcPr>
          <w:p w14:paraId="1122B622"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KP= Qbruto/LK</w:t>
            </w:r>
          </w:p>
        </w:tc>
      </w:tr>
      <w:tr w:rsidR="009A798A" w:rsidRPr="007271F7" w14:paraId="74C97831" w14:textId="77777777" w:rsidTr="00F24F65">
        <w:tc>
          <w:tcPr>
            <w:tcW w:w="846" w:type="dxa"/>
            <w:vAlign w:val="center"/>
          </w:tcPr>
          <w:p w14:paraId="74C00C09"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1.17*</w:t>
            </w:r>
          </w:p>
        </w:tc>
        <w:tc>
          <w:tcPr>
            <w:tcW w:w="4541" w:type="dxa"/>
            <w:vAlign w:val="center"/>
          </w:tcPr>
          <w:p w14:paraId="069AB52D"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 xml:space="preserve">Izmantotā kurināmā zemākais /augstākas(dabasgāzei) sadegšanas siltums </w:t>
            </w:r>
          </w:p>
        </w:tc>
        <w:tc>
          <w:tcPr>
            <w:tcW w:w="1763" w:type="dxa"/>
            <w:vAlign w:val="center"/>
          </w:tcPr>
          <w:p w14:paraId="78253538"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MWh/nat.vien.</w:t>
            </w:r>
          </w:p>
        </w:tc>
        <w:tc>
          <w:tcPr>
            <w:tcW w:w="2260" w:type="dxa"/>
            <w:vAlign w:val="center"/>
          </w:tcPr>
          <w:p w14:paraId="46779630"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ZSS vai ASS</w:t>
            </w:r>
          </w:p>
        </w:tc>
      </w:tr>
      <w:tr w:rsidR="009A798A" w:rsidRPr="007271F7" w14:paraId="4BCDA35D" w14:textId="77777777" w:rsidTr="00F24F65">
        <w:tc>
          <w:tcPr>
            <w:tcW w:w="846" w:type="dxa"/>
            <w:vAlign w:val="center"/>
          </w:tcPr>
          <w:p w14:paraId="7014D7F3"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1.18</w:t>
            </w:r>
          </w:p>
        </w:tc>
        <w:tc>
          <w:tcPr>
            <w:tcW w:w="4541" w:type="dxa"/>
            <w:vAlign w:val="center"/>
          </w:tcPr>
          <w:p w14:paraId="6AAD71B2"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Kurināmā patēriņš naturālās vienībās (tūkst. nm</w:t>
            </w:r>
            <w:r w:rsidRPr="007271F7">
              <w:rPr>
                <w:rFonts w:ascii="Cambria" w:hAnsi="Cambria"/>
                <w:sz w:val="19"/>
                <w:szCs w:val="24"/>
                <w:vertAlign w:val="superscript"/>
              </w:rPr>
              <w:t>3</w:t>
            </w:r>
            <w:r w:rsidRPr="007271F7">
              <w:rPr>
                <w:rFonts w:ascii="Cambria" w:hAnsi="Cambria"/>
                <w:sz w:val="19"/>
                <w:szCs w:val="24"/>
              </w:rPr>
              <w:t xml:space="preserve">, t, utt.) </w:t>
            </w:r>
          </w:p>
        </w:tc>
        <w:tc>
          <w:tcPr>
            <w:tcW w:w="1763" w:type="dxa"/>
            <w:vAlign w:val="center"/>
          </w:tcPr>
          <w:p w14:paraId="1AEFB393"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nat.vien.</w:t>
            </w:r>
          </w:p>
        </w:tc>
        <w:tc>
          <w:tcPr>
            <w:tcW w:w="2260" w:type="dxa"/>
            <w:vAlign w:val="center"/>
          </w:tcPr>
          <w:p w14:paraId="78C8D62E"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KPnv = KP/ZSS (vai dabasgāzei ASS )</w:t>
            </w:r>
          </w:p>
        </w:tc>
      </w:tr>
      <w:tr w:rsidR="009A798A" w:rsidRPr="007271F7" w14:paraId="6C720871" w14:textId="77777777" w:rsidTr="00F24F65">
        <w:tc>
          <w:tcPr>
            <w:tcW w:w="846" w:type="dxa"/>
            <w:vAlign w:val="center"/>
          </w:tcPr>
          <w:p w14:paraId="2B00FBFB"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1.19</w:t>
            </w:r>
          </w:p>
        </w:tc>
        <w:tc>
          <w:tcPr>
            <w:tcW w:w="4541" w:type="dxa"/>
            <w:vAlign w:val="center"/>
          </w:tcPr>
          <w:p w14:paraId="5FCF93D0"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Kurināmā cena naturālās vienībās bez nodokļiem</w:t>
            </w:r>
          </w:p>
        </w:tc>
        <w:tc>
          <w:tcPr>
            <w:tcW w:w="1763" w:type="dxa"/>
            <w:vAlign w:val="center"/>
          </w:tcPr>
          <w:p w14:paraId="39668547"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EUR/nat.vien.</w:t>
            </w:r>
          </w:p>
        </w:tc>
        <w:tc>
          <w:tcPr>
            <w:tcW w:w="2260" w:type="dxa"/>
            <w:vAlign w:val="center"/>
          </w:tcPr>
          <w:p w14:paraId="2D13D228"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CKnv</w:t>
            </w:r>
          </w:p>
        </w:tc>
      </w:tr>
      <w:tr w:rsidR="009A798A" w:rsidRPr="007271F7" w14:paraId="23E5875E" w14:textId="77777777" w:rsidTr="00F24F65">
        <w:tc>
          <w:tcPr>
            <w:tcW w:w="846" w:type="dxa"/>
            <w:vAlign w:val="center"/>
          </w:tcPr>
          <w:p w14:paraId="6DBAD4EE"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1.20</w:t>
            </w:r>
          </w:p>
        </w:tc>
        <w:tc>
          <w:tcPr>
            <w:tcW w:w="4541" w:type="dxa"/>
            <w:vAlign w:val="center"/>
          </w:tcPr>
          <w:p w14:paraId="33878E4C"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 xml:space="preserve">Kurināmā cena enerģijas vienībās </w:t>
            </w:r>
          </w:p>
        </w:tc>
        <w:tc>
          <w:tcPr>
            <w:tcW w:w="1763" w:type="dxa"/>
            <w:vAlign w:val="center"/>
          </w:tcPr>
          <w:p w14:paraId="726AB95F"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EUR/MWh</w:t>
            </w:r>
          </w:p>
        </w:tc>
        <w:tc>
          <w:tcPr>
            <w:tcW w:w="2260" w:type="dxa"/>
            <w:vAlign w:val="center"/>
          </w:tcPr>
          <w:p w14:paraId="03566175"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CK=CKnv/ZSS (dabasgāzei ASS)</w:t>
            </w:r>
          </w:p>
        </w:tc>
      </w:tr>
    </w:tbl>
    <w:p w14:paraId="3786EE07" w14:textId="77777777" w:rsidR="009A798A" w:rsidRPr="00365A7B" w:rsidRDefault="009A798A" w:rsidP="009A798A">
      <w:pPr>
        <w:suppressAutoHyphens/>
        <w:spacing w:before="130" w:line="260" w:lineRule="atLeast"/>
        <w:ind w:firstLine="539"/>
        <w:jc w:val="left"/>
        <w:rPr>
          <w:rFonts w:ascii="Cambria" w:hAnsi="Cambria"/>
          <w:b/>
          <w:bCs/>
          <w:sz w:val="19"/>
          <w:szCs w:val="24"/>
        </w:rPr>
      </w:pPr>
    </w:p>
    <w:p w14:paraId="4E6643F4" w14:textId="77777777" w:rsidR="009A798A" w:rsidRPr="007271F7" w:rsidRDefault="009A798A" w:rsidP="009A798A">
      <w:pPr>
        <w:suppressAutoHyphens/>
        <w:spacing w:before="130" w:line="260" w:lineRule="atLeast"/>
        <w:ind w:firstLine="539"/>
        <w:rPr>
          <w:rFonts w:ascii="Cambria" w:hAnsi="Cambria"/>
          <w:sz w:val="17"/>
          <w:szCs w:val="17"/>
        </w:rPr>
      </w:pPr>
      <w:r w:rsidRPr="007271F7">
        <w:rPr>
          <w:rFonts w:ascii="Cambria" w:hAnsi="Cambria"/>
          <w:sz w:val="17"/>
          <w:szCs w:val="17"/>
        </w:rPr>
        <w:t>* Piezīmes pie 1. pielikuma:</w:t>
      </w:r>
    </w:p>
    <w:p w14:paraId="4449D76F" w14:textId="77777777" w:rsidR="009A798A" w:rsidRPr="007271F7" w:rsidRDefault="009A798A" w:rsidP="009A798A">
      <w:pPr>
        <w:suppressAutoHyphens/>
        <w:spacing w:before="130" w:line="260" w:lineRule="atLeast"/>
        <w:ind w:firstLine="539"/>
        <w:rPr>
          <w:rFonts w:ascii="Cambria" w:hAnsi="Cambria"/>
          <w:sz w:val="17"/>
          <w:szCs w:val="17"/>
        </w:rPr>
      </w:pPr>
      <w:r w:rsidRPr="007271F7">
        <w:rPr>
          <w:rFonts w:ascii="Cambria" w:hAnsi="Cambria"/>
          <w:sz w:val="17"/>
          <w:szCs w:val="17"/>
        </w:rPr>
        <w:t>1.3 – kopējo pieprasīto siltuma jaudu var aprēķināt, summējot siltumenerģijas lietotāju faktiski uzskaitīto pieprasīto siltuma jaudu vai pēc formulas:</w:t>
      </w:r>
    </w:p>
    <w:p w14:paraId="5FDA9776" w14:textId="65ECB29F" w:rsidR="009A798A" w:rsidRDefault="009A798A" w:rsidP="009A798A">
      <w:pPr>
        <w:suppressAutoHyphens/>
        <w:spacing w:before="130" w:line="260" w:lineRule="atLeast"/>
        <w:ind w:firstLine="539"/>
        <w:jc w:val="center"/>
        <w:rPr>
          <w:rFonts w:ascii="Cambria" w:hAnsi="Cambria"/>
          <w:sz w:val="17"/>
          <w:szCs w:val="17"/>
        </w:rPr>
      </w:pPr>
      <w:r w:rsidRPr="007271F7">
        <w:rPr>
          <w:rFonts w:ascii="Cambria" w:hAnsi="Cambria"/>
          <w:noProof/>
          <w:sz w:val="17"/>
          <w:szCs w:val="17"/>
          <w:lang w:val="en-GB" w:eastAsia="en-GB"/>
        </w:rPr>
        <w:drawing>
          <wp:inline distT="0" distB="0" distL="0" distR="0" wp14:anchorId="0EF2EA2C" wp14:editId="30D13BB7">
            <wp:extent cx="3634740" cy="502920"/>
            <wp:effectExtent l="0" t="0" r="3810" b="0"/>
            <wp:docPr id="1595311957" name="Picture 1" descr="A black text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with numbers&#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l="11893" t="23175" r="11545"/>
                    <a:stretch>
                      <a:fillRect/>
                    </a:stretch>
                  </pic:blipFill>
                  <pic:spPr bwMode="auto">
                    <a:xfrm>
                      <a:off x="0" y="0"/>
                      <a:ext cx="3634740" cy="502920"/>
                    </a:xfrm>
                    <a:prstGeom prst="rect">
                      <a:avLst/>
                    </a:prstGeom>
                    <a:noFill/>
                    <a:ln>
                      <a:noFill/>
                    </a:ln>
                  </pic:spPr>
                </pic:pic>
              </a:graphicData>
            </a:graphic>
          </wp:inline>
        </w:drawing>
      </w:r>
    </w:p>
    <w:p w14:paraId="5FF17769" w14:textId="77777777" w:rsidR="009A798A" w:rsidRPr="007271F7" w:rsidRDefault="009A798A" w:rsidP="009A798A">
      <w:pPr>
        <w:suppressAutoHyphens/>
        <w:spacing w:before="130" w:line="260" w:lineRule="atLeast"/>
        <w:ind w:firstLine="539"/>
        <w:rPr>
          <w:rFonts w:ascii="Cambria" w:hAnsi="Cambria"/>
          <w:sz w:val="17"/>
          <w:szCs w:val="17"/>
        </w:rPr>
      </w:pPr>
      <w:r w:rsidRPr="007271F7">
        <w:rPr>
          <w:rFonts w:ascii="Cambria" w:hAnsi="Cambria"/>
          <w:sz w:val="17"/>
          <w:szCs w:val="17"/>
        </w:rPr>
        <w:t>kur QNOD1 un QNOD2 – divos iepriekšējos gados faktiski lietotājiem nodotais siltumenerģijas apjoms, kas izteikts megavatstundās (MWh);</w:t>
      </w:r>
    </w:p>
    <w:p w14:paraId="4D7EE66A" w14:textId="77777777" w:rsidR="009A798A" w:rsidRDefault="009A798A" w:rsidP="009A798A">
      <w:pPr>
        <w:suppressAutoHyphens/>
        <w:spacing w:before="130" w:line="260" w:lineRule="atLeast"/>
        <w:ind w:firstLine="539"/>
        <w:rPr>
          <w:rFonts w:ascii="Cambria" w:hAnsi="Cambria"/>
          <w:sz w:val="17"/>
          <w:szCs w:val="17"/>
        </w:rPr>
      </w:pPr>
      <w:r w:rsidRPr="007271F7">
        <w:rPr>
          <w:rFonts w:ascii="Cambria" w:hAnsi="Cambria"/>
          <w:sz w:val="17"/>
          <w:szCs w:val="17"/>
        </w:rPr>
        <w:t>Q</w:t>
      </w:r>
      <w:r w:rsidRPr="007271F7">
        <w:rPr>
          <w:rFonts w:ascii="Cambria" w:hAnsi="Cambria"/>
          <w:sz w:val="17"/>
          <w:szCs w:val="17"/>
          <w:vertAlign w:val="subscript"/>
        </w:rPr>
        <w:t>NOD3</w:t>
      </w:r>
      <w:r w:rsidRPr="007271F7">
        <w:rPr>
          <w:rFonts w:ascii="Cambria" w:hAnsi="Cambria"/>
          <w:sz w:val="17"/>
          <w:szCs w:val="17"/>
        </w:rPr>
        <w:t xml:space="preserve"> – kārtējā gada plānotais lietotājiem nodotais siltumenerģijas apjoms, kas izteikts megavatstundās (MWh); </w:t>
      </w:r>
    </w:p>
    <w:p w14:paraId="185A403C" w14:textId="77777777" w:rsidR="009A798A" w:rsidRDefault="009A798A" w:rsidP="009A798A">
      <w:pPr>
        <w:suppressAutoHyphens/>
        <w:spacing w:before="130" w:line="260" w:lineRule="atLeast"/>
        <w:ind w:firstLine="539"/>
        <w:rPr>
          <w:rFonts w:ascii="Cambria" w:hAnsi="Cambria"/>
          <w:sz w:val="17"/>
          <w:szCs w:val="17"/>
        </w:rPr>
      </w:pPr>
      <w:r w:rsidRPr="007271F7">
        <w:rPr>
          <w:rFonts w:ascii="Cambria" w:hAnsi="Cambria"/>
          <w:sz w:val="17"/>
          <w:szCs w:val="17"/>
        </w:rPr>
        <w:lastRenderedPageBreak/>
        <w:t>QJ</w:t>
      </w:r>
      <w:r w:rsidRPr="007271F7">
        <w:rPr>
          <w:rFonts w:ascii="Cambria" w:hAnsi="Cambria"/>
          <w:sz w:val="17"/>
          <w:szCs w:val="17"/>
          <w:vertAlign w:val="subscript"/>
        </w:rPr>
        <w:t>kor</w:t>
      </w:r>
      <w:r w:rsidRPr="007271F7">
        <w:rPr>
          <w:rFonts w:ascii="Cambria" w:hAnsi="Cambria"/>
          <w:sz w:val="17"/>
          <w:szCs w:val="17"/>
        </w:rPr>
        <w:t xml:space="preserve"> – tādu lietotāju objektu maksimālā pieslēgtā siltumslodze, kuri plāno uzsākt siltumenerģijas lietošanu vai izmanto, vai plāno izmantot citu siltumenerģijas apgādes veidu, vienlaikus saglabājot pieslēgumu centralizētajai siltumapgādes sistēmai; </w:t>
      </w:r>
    </w:p>
    <w:p w14:paraId="595EFB76" w14:textId="77777777" w:rsidR="009A798A" w:rsidRPr="007271F7" w:rsidRDefault="009A798A" w:rsidP="009A798A">
      <w:pPr>
        <w:suppressAutoHyphens/>
        <w:spacing w:before="130" w:line="260" w:lineRule="atLeast"/>
        <w:ind w:firstLine="539"/>
        <w:rPr>
          <w:rFonts w:ascii="Cambria" w:hAnsi="Cambria"/>
          <w:sz w:val="17"/>
          <w:szCs w:val="17"/>
        </w:rPr>
      </w:pPr>
      <w:r w:rsidRPr="007271F7">
        <w:rPr>
          <w:rFonts w:ascii="Cambria" w:hAnsi="Cambria"/>
          <w:sz w:val="17"/>
          <w:szCs w:val="17"/>
        </w:rPr>
        <w:t>QJ</w:t>
      </w:r>
      <w:r w:rsidRPr="007271F7">
        <w:rPr>
          <w:rFonts w:ascii="Cambria" w:hAnsi="Cambria"/>
          <w:sz w:val="17"/>
          <w:szCs w:val="17"/>
          <w:vertAlign w:val="subscript"/>
        </w:rPr>
        <w:t>atsl</w:t>
      </w:r>
      <w:r w:rsidRPr="007271F7">
        <w:rPr>
          <w:rFonts w:ascii="Cambria" w:hAnsi="Cambria"/>
          <w:sz w:val="17"/>
          <w:szCs w:val="17"/>
        </w:rPr>
        <w:t xml:space="preserve"> – tādu lietotāju objektu maksimālā pieslēgtā siltumslodze, kuri pārtraukuši siltumenerģijas lietošanu vai nav patērējuši siltumenerģiju triju gadu periodā;</w:t>
      </w:r>
    </w:p>
    <w:p w14:paraId="2BE1CA84" w14:textId="77777777" w:rsidR="009A798A" w:rsidRPr="007271F7" w:rsidRDefault="009A798A" w:rsidP="009A798A">
      <w:pPr>
        <w:suppressAutoHyphens/>
        <w:spacing w:before="130" w:line="260" w:lineRule="atLeast"/>
        <w:ind w:firstLine="539"/>
        <w:rPr>
          <w:rFonts w:ascii="Cambria" w:hAnsi="Cambria"/>
          <w:sz w:val="17"/>
          <w:szCs w:val="17"/>
        </w:rPr>
      </w:pPr>
      <w:r w:rsidRPr="007271F7">
        <w:rPr>
          <w:rFonts w:ascii="Cambria" w:hAnsi="Cambria"/>
          <w:sz w:val="17"/>
          <w:szCs w:val="17"/>
        </w:rPr>
        <w:t>1.4 – siltumenerģijas patēriņu nosaka, izmantojot faktiskos stacionāru siltuma skaitītāju mērījumu rādītājus siltumavotā vai siltuma skaitītāju mērījumu rādītājus lietotāju siltumpunktos par ne mazāk kā trīs gadu ilgu periodu. Ja aprēķinā tiek ņemtas vērā energoefektivitātes pārmaiņas un jauni pieslēgumi centralizētajai siltumapgādes sistēmai, komersants pamato siltumenerģijas patēriņa izmaiņas;</w:t>
      </w:r>
    </w:p>
    <w:p w14:paraId="1022EBF8" w14:textId="77777777" w:rsidR="009A798A" w:rsidRPr="007271F7" w:rsidRDefault="009A798A" w:rsidP="009A798A">
      <w:pPr>
        <w:suppressAutoHyphens/>
        <w:spacing w:before="130" w:line="260" w:lineRule="atLeast"/>
        <w:ind w:firstLine="539"/>
        <w:rPr>
          <w:rFonts w:ascii="Cambria" w:hAnsi="Cambria"/>
          <w:sz w:val="17"/>
          <w:szCs w:val="17"/>
        </w:rPr>
      </w:pPr>
      <w:r w:rsidRPr="007271F7">
        <w:rPr>
          <w:rFonts w:ascii="Cambria" w:hAnsi="Cambria"/>
          <w:sz w:val="17"/>
          <w:szCs w:val="17"/>
        </w:rPr>
        <w:t xml:space="preserve">1.5 – prognozējamos siltuma zudumus nosaka, izmantojot faktiskos aprēķinus pēc siltuma skaitītāju mērījumu rādītājiem siltumavota izvadā un ēku ievados un ņemot vērā energoefektivitātes pārmaiņas. Tarifa projekta aprēķinā ietvertais prognozējamo siltuma zudumu apjoms vidēji visās komersanta centralizētajās siltumapgādes sistēmās kopā nevar pārsniegt Ministru kabineta noteikumos par energoefektivitātes prasībām noteikto pieļaujamo siltuma zudumu apmēru; </w:t>
      </w:r>
    </w:p>
    <w:p w14:paraId="26C33D8C" w14:textId="77777777" w:rsidR="009A798A" w:rsidRPr="007271F7" w:rsidRDefault="009A798A" w:rsidP="009A798A">
      <w:pPr>
        <w:suppressAutoHyphens/>
        <w:spacing w:before="130" w:line="260" w:lineRule="atLeast"/>
        <w:ind w:firstLine="539"/>
        <w:rPr>
          <w:rFonts w:ascii="Cambria" w:hAnsi="Cambria"/>
          <w:sz w:val="17"/>
          <w:szCs w:val="17"/>
        </w:rPr>
      </w:pPr>
      <w:r w:rsidRPr="007271F7">
        <w:rPr>
          <w:rFonts w:ascii="Cambria" w:hAnsi="Cambria"/>
          <w:sz w:val="17"/>
          <w:szCs w:val="17"/>
        </w:rPr>
        <w:t>1.8 – no katlumājas nodotās siltumenerģijas daudzumu nosaka uz siltumenerģijas ražotāja piederības robežas;</w:t>
      </w:r>
    </w:p>
    <w:p w14:paraId="2B1CDD08" w14:textId="77777777" w:rsidR="009A798A" w:rsidRPr="007271F7" w:rsidRDefault="009A798A" w:rsidP="009A798A">
      <w:pPr>
        <w:suppressAutoHyphens/>
        <w:spacing w:before="130" w:line="260" w:lineRule="atLeast"/>
        <w:ind w:firstLine="539"/>
        <w:rPr>
          <w:rFonts w:ascii="Cambria" w:hAnsi="Cambria"/>
          <w:sz w:val="17"/>
          <w:szCs w:val="17"/>
        </w:rPr>
      </w:pPr>
      <w:r w:rsidRPr="007271F7">
        <w:rPr>
          <w:rFonts w:ascii="Cambria" w:hAnsi="Cambria"/>
          <w:sz w:val="17"/>
          <w:szCs w:val="17"/>
        </w:rPr>
        <w:t>1.9 – siltumenerģijas daļa, ko patērē siltumenerģiju ražojošās un pārveidojošās iekārtas un palīgiekārtas;</w:t>
      </w:r>
    </w:p>
    <w:p w14:paraId="0D584617" w14:textId="77777777" w:rsidR="009A798A" w:rsidRPr="007271F7" w:rsidRDefault="009A798A" w:rsidP="009A798A">
      <w:pPr>
        <w:suppressAutoHyphens/>
        <w:spacing w:before="130" w:line="260" w:lineRule="atLeast"/>
        <w:ind w:firstLine="539"/>
        <w:rPr>
          <w:rFonts w:ascii="Cambria" w:hAnsi="Cambria"/>
          <w:b/>
          <w:bCs/>
          <w:sz w:val="17"/>
          <w:szCs w:val="17"/>
        </w:rPr>
      </w:pPr>
      <w:r w:rsidRPr="007271F7">
        <w:rPr>
          <w:rFonts w:ascii="Cambria" w:hAnsi="Cambria"/>
          <w:sz w:val="17"/>
          <w:szCs w:val="17"/>
        </w:rPr>
        <w:t xml:space="preserve">1.17 – norāda kurināmā zemāko sadegšanas siltumu (dabasgāzes augstāko sadegšanas siltumu), pie kura nosaka kurināmā pirkšanas līgumcenu. </w:t>
      </w:r>
    </w:p>
    <w:p w14:paraId="0E858D17" w14:textId="77777777" w:rsidR="009A798A" w:rsidRPr="00365A7B" w:rsidRDefault="009A798A" w:rsidP="009A798A">
      <w:pPr>
        <w:suppressAutoHyphens/>
        <w:spacing w:before="130" w:line="260" w:lineRule="atLeast"/>
        <w:ind w:firstLine="539"/>
        <w:jc w:val="left"/>
        <w:rPr>
          <w:rFonts w:ascii="Cambria" w:hAnsi="Cambria"/>
          <w:sz w:val="19"/>
          <w:szCs w:val="24"/>
        </w:rPr>
      </w:pPr>
    </w:p>
    <w:p w14:paraId="34826FB1" w14:textId="77777777" w:rsidR="009A798A" w:rsidRPr="00365A7B" w:rsidRDefault="009A798A" w:rsidP="009A798A">
      <w:pPr>
        <w:suppressAutoHyphens/>
        <w:spacing w:before="130" w:line="260" w:lineRule="atLeast"/>
        <w:ind w:firstLine="539"/>
        <w:jc w:val="left"/>
        <w:rPr>
          <w:rFonts w:ascii="Cambria" w:hAnsi="Cambria"/>
          <w:sz w:val="19"/>
          <w:szCs w:val="24"/>
        </w:rPr>
      </w:pPr>
      <w:r w:rsidRPr="00365A7B">
        <w:rPr>
          <w:rFonts w:ascii="Cambria" w:hAnsi="Cambria"/>
          <w:sz w:val="19"/>
          <w:szCs w:val="24"/>
        </w:rPr>
        <w:t>Datums** ______.______._____________________</w:t>
      </w:r>
    </w:p>
    <w:tbl>
      <w:tblPr>
        <w:tblW w:w="4763" w:type="pct"/>
        <w:tblInd w:w="454" w:type="dxa"/>
        <w:tblCellMar>
          <w:top w:w="28" w:type="dxa"/>
          <w:left w:w="28" w:type="dxa"/>
          <w:bottom w:w="28" w:type="dxa"/>
          <w:right w:w="28" w:type="dxa"/>
        </w:tblCellMar>
        <w:tblLook w:val="04A0" w:firstRow="1" w:lastRow="0" w:firstColumn="1" w:lastColumn="0" w:noHBand="0" w:noVBand="1"/>
      </w:tblPr>
      <w:tblGrid>
        <w:gridCol w:w="3662"/>
        <w:gridCol w:w="4568"/>
      </w:tblGrid>
      <w:tr w:rsidR="009A798A" w:rsidRPr="007271F7" w14:paraId="4270FB62" w14:textId="77777777" w:rsidTr="00F24F65">
        <w:tc>
          <w:tcPr>
            <w:tcW w:w="2174" w:type="pct"/>
            <w:tcBorders>
              <w:top w:val="nil"/>
              <w:left w:val="nil"/>
              <w:bottom w:val="nil"/>
              <w:right w:val="nil"/>
            </w:tcBorders>
            <w:noWrap/>
            <w:vAlign w:val="bottom"/>
            <w:hideMark/>
          </w:tcPr>
          <w:p w14:paraId="0B03A5F5" w14:textId="77777777" w:rsidR="009A798A" w:rsidRPr="007271F7" w:rsidRDefault="009A798A" w:rsidP="00F24F65">
            <w:pPr>
              <w:suppressAutoHyphens/>
              <w:spacing w:before="120"/>
              <w:jc w:val="left"/>
              <w:rPr>
                <w:rFonts w:ascii="Cambria" w:hAnsi="Cambria"/>
                <w:sz w:val="19"/>
                <w:szCs w:val="24"/>
              </w:rPr>
            </w:pPr>
            <w:r>
              <w:rPr>
                <w:rFonts w:ascii="Cambria" w:hAnsi="Cambria"/>
                <w:sz w:val="19"/>
                <w:szCs w:val="24"/>
              </w:rPr>
              <w:t xml:space="preserve">  </w:t>
            </w:r>
            <w:r w:rsidRPr="007271F7">
              <w:rPr>
                <w:rFonts w:ascii="Cambria" w:hAnsi="Cambria"/>
                <w:sz w:val="19"/>
                <w:szCs w:val="24"/>
              </w:rPr>
              <w:t>Persona, kura tiesīga pārstāvēt komersantu</w:t>
            </w:r>
          </w:p>
        </w:tc>
        <w:tc>
          <w:tcPr>
            <w:tcW w:w="2826" w:type="pct"/>
            <w:tcBorders>
              <w:top w:val="nil"/>
              <w:left w:val="nil"/>
              <w:bottom w:val="single" w:sz="4" w:space="0" w:color="414142"/>
              <w:right w:val="nil"/>
            </w:tcBorders>
            <w:vAlign w:val="center"/>
            <w:hideMark/>
          </w:tcPr>
          <w:p w14:paraId="26025483" w14:textId="77777777" w:rsidR="009A798A" w:rsidRPr="007271F7" w:rsidRDefault="009A798A" w:rsidP="00F24F65">
            <w:pPr>
              <w:suppressAutoHyphens/>
              <w:jc w:val="left"/>
              <w:rPr>
                <w:rFonts w:ascii="Cambria" w:hAnsi="Cambria"/>
                <w:sz w:val="19"/>
                <w:szCs w:val="24"/>
              </w:rPr>
            </w:pPr>
            <w:r w:rsidRPr="007271F7">
              <w:rPr>
                <w:rFonts w:ascii="Cambria" w:hAnsi="Cambria"/>
                <w:sz w:val="19"/>
                <w:szCs w:val="24"/>
              </w:rPr>
              <w:t> </w:t>
            </w:r>
          </w:p>
        </w:tc>
      </w:tr>
      <w:tr w:rsidR="009A798A" w:rsidRPr="007271F7" w14:paraId="67813DCC" w14:textId="77777777" w:rsidTr="00F24F65">
        <w:tc>
          <w:tcPr>
            <w:tcW w:w="2174" w:type="pct"/>
            <w:tcBorders>
              <w:top w:val="nil"/>
              <w:left w:val="nil"/>
              <w:bottom w:val="nil"/>
              <w:right w:val="nil"/>
            </w:tcBorders>
            <w:vAlign w:val="center"/>
            <w:hideMark/>
          </w:tcPr>
          <w:p w14:paraId="0368B79F" w14:textId="77777777" w:rsidR="009A798A" w:rsidRPr="007271F7" w:rsidRDefault="009A798A" w:rsidP="00F24F65">
            <w:pPr>
              <w:suppressAutoHyphens/>
              <w:jc w:val="center"/>
              <w:rPr>
                <w:rFonts w:ascii="Cambria" w:hAnsi="Cambria"/>
                <w:sz w:val="17"/>
                <w:szCs w:val="17"/>
              </w:rPr>
            </w:pPr>
          </w:p>
        </w:tc>
        <w:tc>
          <w:tcPr>
            <w:tcW w:w="2826" w:type="pct"/>
            <w:tcBorders>
              <w:top w:val="single" w:sz="4" w:space="0" w:color="414142"/>
              <w:left w:val="nil"/>
              <w:bottom w:val="nil"/>
              <w:right w:val="nil"/>
            </w:tcBorders>
            <w:hideMark/>
          </w:tcPr>
          <w:p w14:paraId="6358FA25" w14:textId="77777777" w:rsidR="009A798A" w:rsidRPr="007271F7" w:rsidRDefault="009A798A" w:rsidP="00F24F65">
            <w:pPr>
              <w:suppressAutoHyphens/>
              <w:jc w:val="center"/>
              <w:rPr>
                <w:rFonts w:ascii="Cambria" w:hAnsi="Cambria"/>
                <w:sz w:val="17"/>
                <w:szCs w:val="17"/>
              </w:rPr>
            </w:pPr>
            <w:r w:rsidRPr="007271F7">
              <w:rPr>
                <w:rFonts w:ascii="Cambria" w:hAnsi="Cambria"/>
                <w:sz w:val="17"/>
                <w:szCs w:val="17"/>
              </w:rPr>
              <w:t>paraksts un atšifrējums</w:t>
            </w:r>
          </w:p>
        </w:tc>
      </w:tr>
    </w:tbl>
    <w:p w14:paraId="642CAB93" w14:textId="77777777" w:rsidR="009A798A" w:rsidRPr="007271F7" w:rsidRDefault="009A798A" w:rsidP="009A798A">
      <w:pPr>
        <w:suppressAutoHyphens/>
        <w:spacing w:before="130" w:line="260" w:lineRule="atLeast"/>
        <w:ind w:firstLine="539"/>
        <w:rPr>
          <w:rFonts w:ascii="Cambria" w:hAnsi="Cambria"/>
          <w:sz w:val="17"/>
          <w:szCs w:val="17"/>
        </w:rPr>
      </w:pPr>
      <w:r w:rsidRPr="007271F7">
        <w:rPr>
          <w:rFonts w:ascii="Cambria" w:hAnsi="Cambria"/>
          <w:sz w:val="17"/>
          <w:szCs w:val="17"/>
        </w:rPr>
        <w:t>** dokumenta rekvizītus "datums" un "paraksts" neaizpilda, ja elektroniskais dokuments ir sagatavots atbilstoši normatīvajiem aktiem par elektronisko dokumentu noformēšanu.</w:t>
      </w:r>
    </w:p>
    <w:p w14:paraId="20BF18E5" w14:textId="77777777" w:rsidR="009A798A" w:rsidRPr="00365A7B" w:rsidRDefault="009A798A" w:rsidP="009A798A">
      <w:pPr>
        <w:suppressAutoHyphens/>
        <w:spacing w:before="130" w:line="260" w:lineRule="atLeast"/>
        <w:ind w:firstLine="539"/>
        <w:jc w:val="left"/>
        <w:rPr>
          <w:rFonts w:ascii="Cambria" w:hAnsi="Cambria"/>
          <w:sz w:val="19"/>
          <w:szCs w:val="24"/>
        </w:rPr>
      </w:pPr>
    </w:p>
    <w:p w14:paraId="053F106E" w14:textId="77777777" w:rsidR="00FF60D4" w:rsidRDefault="00FF60D4"/>
    <w:sectPr w:rsidR="00FF60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98A"/>
    <w:rsid w:val="00773B89"/>
    <w:rsid w:val="009A798A"/>
    <w:rsid w:val="00C33CC6"/>
    <w:rsid w:val="00CA3437"/>
    <w:rsid w:val="00D00916"/>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F4B2"/>
  <w15:chartTrackingRefBased/>
  <w15:docId w15:val="{B6C20558-FC63-485B-877B-CF46397C9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98A"/>
    <w:pPr>
      <w:spacing w:after="0" w:line="240" w:lineRule="auto"/>
      <w:jc w:val="both"/>
    </w:pPr>
    <w:rPr>
      <w:rFonts w:ascii="Times New Roman" w:eastAsia="Calibri" w:hAnsi="Times New Roman" w:cs="Times New Roman"/>
      <w:kern w:val="0"/>
      <w:szCs w:val="22"/>
      <w:lang w:val="lv-LV"/>
      <w14:ligatures w14:val="none"/>
    </w:rPr>
  </w:style>
  <w:style w:type="paragraph" w:styleId="Heading1">
    <w:name w:val="heading 1"/>
    <w:basedOn w:val="Normal"/>
    <w:next w:val="Normal"/>
    <w:link w:val="Heading1Char"/>
    <w:uiPriority w:val="9"/>
    <w:qFormat/>
    <w:rsid w:val="009A798A"/>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9A798A"/>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9A798A"/>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9A798A"/>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rsid w:val="009A798A"/>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lang w:val="en-US"/>
      <w14:ligatures w14:val="standardContextual"/>
    </w:rPr>
  </w:style>
  <w:style w:type="paragraph" w:styleId="Heading6">
    <w:name w:val="heading 6"/>
    <w:basedOn w:val="Normal"/>
    <w:next w:val="Normal"/>
    <w:link w:val="Heading6Char"/>
    <w:uiPriority w:val="9"/>
    <w:semiHidden/>
    <w:unhideWhenUsed/>
    <w:qFormat/>
    <w:rsid w:val="009A798A"/>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rsid w:val="009A798A"/>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rsid w:val="009A798A"/>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
    <w:semiHidden/>
    <w:unhideWhenUsed/>
    <w:qFormat/>
    <w:rsid w:val="009A798A"/>
    <w:pPr>
      <w:keepNext/>
      <w:keepLines/>
      <w:spacing w:line="278" w:lineRule="auto"/>
      <w:jc w:val="left"/>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9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9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9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9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9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9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9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9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98A"/>
    <w:rPr>
      <w:rFonts w:eastAsiaTheme="majorEastAsia" w:cstheme="majorBidi"/>
      <w:color w:val="272727" w:themeColor="text1" w:themeTint="D8"/>
    </w:rPr>
  </w:style>
  <w:style w:type="paragraph" w:styleId="Title">
    <w:name w:val="Title"/>
    <w:basedOn w:val="Normal"/>
    <w:next w:val="Normal"/>
    <w:link w:val="TitleChar"/>
    <w:uiPriority w:val="10"/>
    <w:qFormat/>
    <w:rsid w:val="009A798A"/>
    <w:pPr>
      <w:spacing w:after="8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9A7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98A"/>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9A79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98A"/>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9A798A"/>
    <w:rPr>
      <w:i/>
      <w:iCs/>
      <w:color w:val="404040" w:themeColor="text1" w:themeTint="BF"/>
    </w:rPr>
  </w:style>
  <w:style w:type="paragraph" w:styleId="ListParagraph">
    <w:name w:val="List Paragraph"/>
    <w:basedOn w:val="Normal"/>
    <w:uiPriority w:val="34"/>
    <w:qFormat/>
    <w:rsid w:val="009A798A"/>
    <w:pPr>
      <w:spacing w:after="160" w:line="278" w:lineRule="auto"/>
      <w:ind w:left="720"/>
      <w:contextualSpacing/>
      <w:jc w:val="left"/>
    </w:pPr>
    <w:rPr>
      <w:rFonts w:asciiTheme="minorHAnsi" w:eastAsiaTheme="minorHAnsi" w:hAnsiTheme="minorHAnsi" w:cstheme="minorBidi"/>
      <w:kern w:val="2"/>
      <w:szCs w:val="24"/>
      <w:lang w:val="en-US"/>
      <w14:ligatures w14:val="standardContextual"/>
    </w:rPr>
  </w:style>
  <w:style w:type="character" w:styleId="IntenseEmphasis">
    <w:name w:val="Intense Emphasis"/>
    <w:basedOn w:val="DefaultParagraphFont"/>
    <w:uiPriority w:val="21"/>
    <w:qFormat/>
    <w:rsid w:val="009A798A"/>
    <w:rPr>
      <w:i/>
      <w:iCs/>
      <w:color w:val="0F4761" w:themeColor="accent1" w:themeShade="BF"/>
    </w:rPr>
  </w:style>
  <w:style w:type="paragraph" w:styleId="IntenseQuote">
    <w:name w:val="Intense Quote"/>
    <w:basedOn w:val="Normal"/>
    <w:next w:val="Normal"/>
    <w:link w:val="IntenseQuoteChar"/>
    <w:uiPriority w:val="30"/>
    <w:qFormat/>
    <w:rsid w:val="009A798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9A798A"/>
    <w:rPr>
      <w:i/>
      <w:iCs/>
      <w:color w:val="0F4761" w:themeColor="accent1" w:themeShade="BF"/>
    </w:rPr>
  </w:style>
  <w:style w:type="character" w:styleId="IntenseReference">
    <w:name w:val="Intense Reference"/>
    <w:basedOn w:val="DefaultParagraphFont"/>
    <w:uiPriority w:val="32"/>
    <w:qFormat/>
    <w:rsid w:val="009A79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Spulģe</dc:creator>
  <cp:keywords/>
  <dc:description/>
  <cp:lastModifiedBy>Sandra Spulģe</cp:lastModifiedBy>
  <cp:revision>1</cp:revision>
  <dcterms:created xsi:type="dcterms:W3CDTF">2026-07-03T10:52:00Z</dcterms:created>
  <dcterms:modified xsi:type="dcterms:W3CDTF">2026-07-03T10:53:00Z</dcterms:modified>
</cp:coreProperties>
</file>