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1AD0E" w14:textId="77777777" w:rsidR="00AA7CAB" w:rsidRPr="00005CE3" w:rsidRDefault="00AA7CAB" w:rsidP="00005CE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05CE3">
        <w:rPr>
          <w:rFonts w:ascii="Times New Roman" w:hAnsi="Times New Roman" w:cs="Times New Roman"/>
          <w:sz w:val="28"/>
          <w:szCs w:val="28"/>
        </w:rPr>
        <w:t xml:space="preserve">Pielikums </w:t>
      </w:r>
    </w:p>
    <w:p w14:paraId="04F8F537" w14:textId="77777777" w:rsidR="00AA7CAB" w:rsidRPr="00005CE3" w:rsidRDefault="00AA7CAB" w:rsidP="00005CE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05CE3">
        <w:rPr>
          <w:rFonts w:ascii="Times New Roman" w:hAnsi="Times New Roman" w:cs="Times New Roman"/>
          <w:sz w:val="28"/>
          <w:szCs w:val="28"/>
        </w:rPr>
        <w:t xml:space="preserve">Ministru kabineta </w:t>
      </w:r>
    </w:p>
    <w:p w14:paraId="5DE3EDA9" w14:textId="77777777" w:rsidR="00AA7CAB" w:rsidRPr="00005CE3" w:rsidRDefault="00AA7CAB" w:rsidP="00005CE3">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05CE3">
        <w:rPr>
          <w:rFonts w:ascii="Times New Roman" w:hAnsi="Times New Roman" w:cs="Times New Roman"/>
          <w:sz w:val="28"/>
          <w:szCs w:val="28"/>
        </w:rPr>
        <w:t>2026. gada 22. janvāra</w:t>
      </w:r>
    </w:p>
    <w:p w14:paraId="0C214C75" w14:textId="77777777" w:rsidR="00AA7CAB" w:rsidRPr="00005CE3" w:rsidRDefault="00AA7CAB" w:rsidP="00005CE3">
      <w:pPr>
        <w:spacing w:after="0" w:line="240" w:lineRule="auto"/>
        <w:jc w:val="right"/>
        <w:rPr>
          <w:rFonts w:ascii="Times New Roman" w:hAnsi="Times New Roman" w:cs="Times New Roman"/>
          <w:sz w:val="28"/>
          <w:szCs w:val="28"/>
        </w:rPr>
      </w:pPr>
      <w:r w:rsidRPr="00005CE3">
        <w:rPr>
          <w:rFonts w:ascii="Times New Roman" w:hAnsi="Times New Roman" w:cs="Times New Roman"/>
          <w:sz w:val="28"/>
          <w:szCs w:val="28"/>
        </w:rPr>
        <w:t xml:space="preserve">rīkojumam Nr. </w:t>
      </w:r>
      <w:r w:rsidRPr="00005CE3">
        <w:rPr>
          <w:rFonts w:ascii="Times New Roman" w:hAnsi="Times New Roman" w:cs="Times New Roman"/>
          <w:sz w:val="28"/>
          <w:szCs w:val="28"/>
        </w:rPr>
        <w:t>25</w:t>
      </w:r>
    </w:p>
    <w:p w14:paraId="7CC53701" w14:textId="77777777" w:rsidR="00456FCB" w:rsidRDefault="00456FCB" w:rsidP="00AA7CAB">
      <w:pPr>
        <w:spacing w:after="0" w:line="240" w:lineRule="auto"/>
        <w:rPr>
          <w:rFonts w:ascii="Times New Roman" w:hAnsi="Times New Roman" w:cs="Times New Roman"/>
          <w:sz w:val="28"/>
          <w:szCs w:val="28"/>
        </w:rPr>
      </w:pPr>
    </w:p>
    <w:p w14:paraId="376C46E0" w14:textId="77777777" w:rsidR="00F409B2" w:rsidRPr="00F72E46" w:rsidRDefault="00F409B2" w:rsidP="00F409B2">
      <w:pPr>
        <w:spacing w:after="0" w:line="240" w:lineRule="auto"/>
        <w:jc w:val="right"/>
        <w:rPr>
          <w:rFonts w:ascii="Times New Roman" w:hAnsi="Times New Roman" w:cs="Times New Roman"/>
          <w:sz w:val="28"/>
          <w:szCs w:val="28"/>
        </w:rPr>
      </w:pPr>
      <w:r w:rsidRPr="00F72E46">
        <w:rPr>
          <w:rFonts w:ascii="Times New Roman" w:hAnsi="Times New Roman" w:cs="Times New Roman"/>
          <w:sz w:val="28"/>
          <w:szCs w:val="28"/>
        </w:rPr>
        <w:t>"Pielikums</w:t>
      </w:r>
    </w:p>
    <w:p w14:paraId="4FE7CE59" w14:textId="77777777" w:rsidR="00F409B2" w:rsidRPr="00F72E46" w:rsidRDefault="00F409B2" w:rsidP="00F409B2">
      <w:pPr>
        <w:spacing w:after="0" w:line="240" w:lineRule="auto"/>
        <w:jc w:val="right"/>
        <w:rPr>
          <w:rFonts w:ascii="Times New Roman" w:hAnsi="Times New Roman" w:cs="Times New Roman"/>
          <w:sz w:val="28"/>
          <w:szCs w:val="28"/>
        </w:rPr>
      </w:pPr>
      <w:r w:rsidRPr="00F72E46">
        <w:rPr>
          <w:rFonts w:ascii="Times New Roman" w:hAnsi="Times New Roman" w:cs="Times New Roman"/>
          <w:sz w:val="28"/>
          <w:szCs w:val="28"/>
        </w:rPr>
        <w:t>Ministru kabineta</w:t>
      </w:r>
    </w:p>
    <w:p w14:paraId="0AE41768" w14:textId="77777777" w:rsidR="00F409B2" w:rsidRPr="00F72E46" w:rsidRDefault="00F409B2" w:rsidP="00F409B2">
      <w:pPr>
        <w:spacing w:after="0" w:line="240" w:lineRule="auto"/>
        <w:jc w:val="right"/>
        <w:rPr>
          <w:rFonts w:ascii="Times New Roman" w:hAnsi="Times New Roman" w:cs="Times New Roman"/>
          <w:sz w:val="28"/>
          <w:szCs w:val="28"/>
        </w:rPr>
      </w:pPr>
      <w:r w:rsidRPr="00F72E46">
        <w:rPr>
          <w:rFonts w:ascii="Times New Roman" w:hAnsi="Times New Roman" w:cs="Times New Roman"/>
          <w:sz w:val="28"/>
          <w:szCs w:val="28"/>
        </w:rPr>
        <w:t>2023. gada 6. aprīļa</w:t>
      </w:r>
    </w:p>
    <w:p w14:paraId="6B62B9E9" w14:textId="77777777" w:rsidR="00F409B2" w:rsidRPr="00F72E46" w:rsidRDefault="00F409B2" w:rsidP="00F409B2">
      <w:pPr>
        <w:spacing w:after="0" w:line="240" w:lineRule="auto"/>
        <w:jc w:val="right"/>
        <w:rPr>
          <w:rFonts w:ascii="Times New Roman" w:hAnsi="Times New Roman" w:cs="Times New Roman"/>
          <w:sz w:val="28"/>
          <w:szCs w:val="28"/>
        </w:rPr>
      </w:pPr>
      <w:r w:rsidRPr="00F72E46">
        <w:rPr>
          <w:rFonts w:ascii="Times New Roman" w:hAnsi="Times New Roman" w:cs="Times New Roman"/>
          <w:sz w:val="28"/>
          <w:szCs w:val="28"/>
        </w:rPr>
        <w:t>rīkojumam Nr. 197</w:t>
      </w:r>
    </w:p>
    <w:p w14:paraId="45830446" w14:textId="77777777" w:rsidR="00F409B2" w:rsidRPr="00CA01B1" w:rsidRDefault="00F409B2" w:rsidP="00F409B2">
      <w:pPr>
        <w:spacing w:after="0" w:line="240" w:lineRule="auto"/>
        <w:jc w:val="both"/>
        <w:rPr>
          <w:rFonts w:ascii="Times New Roman" w:hAnsi="Times New Roman" w:cs="Times New Roman"/>
          <w:sz w:val="28"/>
          <w:szCs w:val="28"/>
        </w:rPr>
      </w:pPr>
    </w:p>
    <w:p w14:paraId="4E47C92C" w14:textId="77777777" w:rsidR="00F409B2" w:rsidRPr="00CA01B1" w:rsidRDefault="00F409B2" w:rsidP="00F409B2">
      <w:pPr>
        <w:tabs>
          <w:tab w:val="left" w:pos="5910"/>
          <w:tab w:val="left" w:pos="8310"/>
        </w:tabs>
        <w:spacing w:after="0" w:line="240" w:lineRule="auto"/>
        <w:jc w:val="center"/>
        <w:rPr>
          <w:rFonts w:ascii="Times New Roman" w:hAnsi="Times New Roman" w:cs="Times New Roman"/>
          <w:b/>
          <w:bCs/>
          <w:sz w:val="28"/>
          <w:szCs w:val="28"/>
        </w:rPr>
      </w:pPr>
      <w:r w:rsidRPr="00CA01B1">
        <w:rPr>
          <w:rFonts w:ascii="Times New Roman" w:hAnsi="Times New Roman" w:cs="Times New Roman"/>
          <w:b/>
          <w:bCs/>
          <w:sz w:val="28"/>
          <w:szCs w:val="28"/>
        </w:rPr>
        <w:t>2.1.3.1.i. investīcijas projekta "Klīnisko universitāšu slimnīcu onkoloģijas pacienta datu apmaiņas platformas izveide" pase</w:t>
      </w:r>
    </w:p>
    <w:p w14:paraId="704024CD" w14:textId="77777777" w:rsidR="00F409B2" w:rsidRPr="00AA7CAB" w:rsidRDefault="00F409B2" w:rsidP="00AA7CAB">
      <w:pPr>
        <w:spacing w:after="0" w:line="240" w:lineRule="auto"/>
        <w:rPr>
          <w:rFonts w:ascii="Times New Roman" w:hAnsi="Times New Roman" w:cs="Times New Roman"/>
          <w:sz w:val="28"/>
          <w:szCs w:val="28"/>
        </w:rPr>
      </w:pPr>
    </w:p>
    <w:tbl>
      <w:tblPr>
        <w:tblW w:w="9366" w:type="dxa"/>
        <w:tblCellSpacing w:w="0" w:type="dxa"/>
        <w:tblInd w:w="-142" w:type="dxa"/>
        <w:tblCellMar>
          <w:left w:w="0" w:type="dxa"/>
          <w:right w:w="0" w:type="dxa"/>
        </w:tblCellMar>
        <w:tblLook w:val="04A0" w:firstRow="1" w:lastRow="0" w:firstColumn="1" w:lastColumn="0" w:noHBand="0" w:noVBand="1"/>
      </w:tblPr>
      <w:tblGrid>
        <w:gridCol w:w="9366"/>
      </w:tblGrid>
      <w:tr w:rsidR="006A3D72" w:rsidRPr="00F72E46" w14:paraId="57897812" w14:textId="77777777" w:rsidTr="00005CE3">
        <w:trPr>
          <w:tblCellSpacing w:w="0" w:type="dxa"/>
        </w:trPr>
        <w:tc>
          <w:tcPr>
            <w:tcW w:w="9366" w:type="dxa"/>
            <w:hideMark/>
          </w:tcPr>
          <w:p w14:paraId="36DB8D15" w14:textId="77777777" w:rsidR="006A3D72" w:rsidRPr="00F72E46" w:rsidRDefault="006A3D72" w:rsidP="00005CE3">
            <w:pPr>
              <w:spacing w:before="120" w:after="120" w:line="240" w:lineRule="auto"/>
              <w:jc w:val="both"/>
              <w:rPr>
                <w:rFonts w:ascii="Times New Roman" w:hAnsi="Times New Roman" w:cs="Times New Roman"/>
                <w:sz w:val="24"/>
                <w:szCs w:val="24"/>
              </w:rPr>
            </w:pPr>
            <w:bookmarkStart w:id="0" w:name="_Hlk177112746"/>
            <w:bookmarkStart w:id="1" w:name="n-1188180"/>
            <w:bookmarkStart w:id="2" w:name="n2.1.3"/>
            <w:bookmarkEnd w:id="1"/>
            <w:bookmarkEnd w:id="2"/>
            <w:r w:rsidRPr="00F72E46">
              <w:rPr>
                <w:rFonts w:ascii="Times New Roman" w:hAnsi="Times New Roman" w:cs="Times New Roman"/>
                <w:b/>
                <w:bCs/>
                <w:sz w:val="24"/>
                <w:szCs w:val="24"/>
              </w:rPr>
              <w:t>1.</w:t>
            </w:r>
            <w:r w:rsidRPr="00F72E46">
              <w:rPr>
                <w:rFonts w:ascii="Times New Roman" w:hAnsi="Times New Roman" w:cs="Times New Roman"/>
                <w:sz w:val="24"/>
                <w:szCs w:val="24"/>
              </w:rPr>
              <w:t> </w:t>
            </w:r>
            <w:r w:rsidRPr="00F72E46">
              <w:rPr>
                <w:rFonts w:ascii="Times New Roman" w:hAnsi="Times New Roman" w:cs="Times New Roman"/>
                <w:b/>
                <w:bCs/>
                <w:sz w:val="24"/>
                <w:szCs w:val="24"/>
              </w:rPr>
              <w:t>Finansējuma saņēmējs, kas īsteno projektu</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2805"/>
              <w:gridCol w:w="6545"/>
            </w:tblGrid>
            <w:tr w:rsidR="006A3D72" w:rsidRPr="00F72E46" w14:paraId="406DBE91" w14:textId="77777777" w:rsidTr="359AEA39">
              <w:tc>
                <w:tcPr>
                  <w:tcW w:w="1500" w:type="pct"/>
                  <w:tcBorders>
                    <w:top w:val="outset" w:sz="6" w:space="0" w:color="414142"/>
                    <w:left w:val="outset" w:sz="6" w:space="0" w:color="414142"/>
                    <w:bottom w:val="outset" w:sz="6" w:space="0" w:color="414142"/>
                    <w:right w:val="outset" w:sz="6" w:space="0" w:color="414142"/>
                  </w:tcBorders>
                  <w:hideMark/>
                </w:tcPr>
                <w:p w14:paraId="1FC03E51" w14:textId="77777777" w:rsidR="006A3D72" w:rsidRPr="00F72E46" w:rsidRDefault="006A3D72" w:rsidP="00102F2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1.1. Finansējuma saņēmējs, kas īsteno projektu (institūcija)</w:t>
                  </w:r>
                </w:p>
              </w:tc>
              <w:tc>
                <w:tcPr>
                  <w:tcW w:w="3500" w:type="pct"/>
                  <w:tcBorders>
                    <w:top w:val="outset" w:sz="6" w:space="0" w:color="414142"/>
                    <w:left w:val="outset" w:sz="6" w:space="0" w:color="414142"/>
                    <w:bottom w:val="outset" w:sz="6" w:space="0" w:color="414142"/>
                    <w:right w:val="outset" w:sz="6" w:space="0" w:color="414142"/>
                  </w:tcBorders>
                  <w:hideMark/>
                </w:tcPr>
                <w:p w14:paraId="2D235B2E"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SIA "Rīgas Austrumu klīniskā universitātes slimnīca"</w:t>
                  </w:r>
                </w:p>
              </w:tc>
            </w:tr>
            <w:tr w:rsidR="006A3D72" w:rsidRPr="00F72E46" w14:paraId="2B998C20" w14:textId="77777777" w:rsidTr="359AEA39">
              <w:tc>
                <w:tcPr>
                  <w:tcW w:w="1500" w:type="pct"/>
                  <w:tcBorders>
                    <w:top w:val="outset" w:sz="6" w:space="0" w:color="414142"/>
                    <w:left w:val="outset" w:sz="6" w:space="0" w:color="414142"/>
                    <w:bottom w:val="outset" w:sz="6" w:space="0" w:color="414142"/>
                    <w:right w:val="outset" w:sz="6" w:space="0" w:color="414142"/>
                  </w:tcBorders>
                  <w:hideMark/>
                </w:tcPr>
                <w:p w14:paraId="4D3485C2" w14:textId="77777777" w:rsidR="006A3D72" w:rsidRPr="00F72E46" w:rsidRDefault="006A3D72" w:rsidP="00102F2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1.2. Projekta īstenošanas partneri</w:t>
                  </w:r>
                </w:p>
              </w:tc>
              <w:tc>
                <w:tcPr>
                  <w:tcW w:w="3500" w:type="pct"/>
                  <w:tcBorders>
                    <w:top w:val="outset" w:sz="6" w:space="0" w:color="414142"/>
                    <w:left w:val="outset" w:sz="6" w:space="0" w:color="414142"/>
                    <w:bottom w:val="outset" w:sz="6" w:space="0" w:color="414142"/>
                    <w:right w:val="outset" w:sz="6" w:space="0" w:color="414142"/>
                  </w:tcBorders>
                  <w:hideMark/>
                </w:tcPr>
                <w:p w14:paraId="72FC4F72" w14:textId="7EF68BDD"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VSIA "Paula Stradiņa klīniskā universitātes slimnīca" (PSKUS)</w:t>
                  </w:r>
                </w:p>
                <w:p w14:paraId="5480BECD" w14:textId="53608F53"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SIA "Bērnu klīniskā universitātes slimnīca" (BKUS)</w:t>
                  </w:r>
                </w:p>
                <w:p w14:paraId="28D49A0D" w14:textId="3A674EAD" w:rsidR="006A3D72"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Nacionālais veselības dienests (NVD) </w:t>
                  </w:r>
                </w:p>
                <w:p w14:paraId="6A249802" w14:textId="28420F6D"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Latvijas Digitālās veselības centrs (LDVC</w:t>
                  </w:r>
                  <w:r w:rsidRPr="6DA42A91">
                    <w:rPr>
                      <w:rFonts w:ascii="Times New Roman" w:hAnsi="Times New Roman" w:cs="Times New Roman"/>
                      <w:sz w:val="24"/>
                      <w:szCs w:val="24"/>
                    </w:rPr>
                    <w:t>)</w:t>
                  </w:r>
                </w:p>
                <w:p w14:paraId="23CE1F75" w14:textId="77777777" w:rsidR="006A3D72"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xml:space="preserve">Valsts digitālās attīstības aģentūra </w:t>
                  </w:r>
                </w:p>
                <w:p w14:paraId="18E88741" w14:textId="2ACF69D9"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Slimību profilakses un kontroles centrs (SPKC)</w:t>
                  </w:r>
                </w:p>
              </w:tc>
            </w:tr>
          </w:tbl>
          <w:p w14:paraId="3CA1745A"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2. Saistīto projektu programma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2805"/>
              <w:gridCol w:w="6545"/>
            </w:tblGrid>
            <w:tr w:rsidR="006A3D72" w:rsidRPr="00F72E46" w14:paraId="3A63E771" w14:textId="77777777" w:rsidTr="00F05CBD">
              <w:tc>
                <w:tcPr>
                  <w:tcW w:w="1500" w:type="pct"/>
                  <w:tcBorders>
                    <w:top w:val="outset" w:sz="6" w:space="0" w:color="414142"/>
                    <w:left w:val="outset" w:sz="6" w:space="0" w:color="414142"/>
                    <w:bottom w:val="outset" w:sz="6" w:space="0" w:color="414142"/>
                    <w:right w:val="outset" w:sz="6" w:space="0" w:color="414142"/>
                  </w:tcBorders>
                  <w:hideMark/>
                </w:tcPr>
                <w:p w14:paraId="18F97A89" w14:textId="77777777" w:rsidR="006A3D72" w:rsidRPr="00F72E46" w:rsidRDefault="006A3D72" w:rsidP="000153C0">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2.1. Programmas nosaukums</w:t>
                  </w:r>
                </w:p>
              </w:tc>
              <w:tc>
                <w:tcPr>
                  <w:tcW w:w="3500" w:type="pct"/>
                  <w:tcBorders>
                    <w:top w:val="outset" w:sz="6" w:space="0" w:color="414142"/>
                    <w:left w:val="outset" w:sz="6" w:space="0" w:color="414142"/>
                    <w:bottom w:val="outset" w:sz="6" w:space="0" w:color="414142"/>
                    <w:right w:val="outset" w:sz="6" w:space="0" w:color="414142"/>
                  </w:tcBorders>
                  <w:hideMark/>
                </w:tcPr>
                <w:p w14:paraId="35DEAB71"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Datu pārvaldības attīstības programma</w:t>
                  </w:r>
                </w:p>
              </w:tc>
            </w:tr>
            <w:tr w:rsidR="006A3D72" w:rsidRPr="00F72E46" w14:paraId="24EC4FA0" w14:textId="77777777" w:rsidTr="00F05CBD">
              <w:tc>
                <w:tcPr>
                  <w:tcW w:w="1500" w:type="pct"/>
                  <w:tcBorders>
                    <w:top w:val="outset" w:sz="6" w:space="0" w:color="414142"/>
                    <w:left w:val="outset" w:sz="6" w:space="0" w:color="414142"/>
                    <w:bottom w:val="outset" w:sz="6" w:space="0" w:color="414142"/>
                    <w:right w:val="outset" w:sz="6" w:space="0" w:color="414142"/>
                  </w:tcBorders>
                  <w:hideMark/>
                </w:tcPr>
                <w:p w14:paraId="25B2A847" w14:textId="77777777" w:rsidR="006A3D72" w:rsidRPr="00F72E46" w:rsidRDefault="006A3D72" w:rsidP="000153C0">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2.2. Saistība ar citiem projektiem</w:t>
                  </w:r>
                </w:p>
              </w:tc>
              <w:tc>
                <w:tcPr>
                  <w:tcW w:w="3500" w:type="pct"/>
                  <w:tcBorders>
                    <w:top w:val="outset" w:sz="6" w:space="0" w:color="414142"/>
                    <w:left w:val="outset" w:sz="6" w:space="0" w:color="414142"/>
                    <w:bottom w:val="outset" w:sz="6" w:space="0" w:color="414142"/>
                    <w:right w:val="outset" w:sz="6" w:space="0" w:color="414142"/>
                  </w:tcBorders>
                  <w:hideMark/>
                </w:tcPr>
                <w:p w14:paraId="51EE778B" w14:textId="09569481"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V</w:t>
                  </w:r>
                  <w:r>
                    <w:rPr>
                      <w:rFonts w:ascii="Times New Roman" w:hAnsi="Times New Roman" w:cs="Times New Roman"/>
                      <w:sz w:val="24"/>
                      <w:szCs w:val="24"/>
                    </w:rPr>
                    <w:t>DAA</w:t>
                  </w:r>
                  <w:r w:rsidRPr="00F72E46">
                    <w:rPr>
                      <w:rFonts w:ascii="Times New Roman" w:hAnsi="Times New Roman" w:cs="Times New Roman"/>
                      <w:sz w:val="24"/>
                      <w:szCs w:val="24"/>
                    </w:rPr>
                    <w:t xml:space="preserve"> projekts </w:t>
                  </w:r>
                  <w:r w:rsidRPr="005919C1">
                    <w:rPr>
                      <w:rFonts w:ascii="Times New Roman" w:hAnsi="Times New Roman" w:cs="Times New Roman"/>
                      <w:sz w:val="24"/>
                      <w:szCs w:val="24"/>
                    </w:rPr>
                    <w:t>"Vienotā datu koplietošanas platforma publiskā sektora un tautsaimniecības datu koplietošanai nacionāli un Eiropas datu telpas ietvaros, t</w:t>
                  </w:r>
                  <w:r w:rsidR="007F3010" w:rsidRPr="005919C1">
                    <w:rPr>
                      <w:rFonts w:ascii="Times New Roman" w:hAnsi="Times New Roman" w:cs="Times New Roman"/>
                      <w:sz w:val="24"/>
                      <w:szCs w:val="24"/>
                    </w:rPr>
                    <w:t>.</w:t>
                  </w:r>
                  <w:r w:rsidR="007F3010">
                    <w:rPr>
                      <w:rFonts w:ascii="Times New Roman" w:hAnsi="Times New Roman" w:cs="Times New Roman"/>
                      <w:sz w:val="24"/>
                      <w:szCs w:val="24"/>
                    </w:rPr>
                    <w:t> </w:t>
                  </w:r>
                  <w:r w:rsidRPr="005919C1">
                    <w:rPr>
                      <w:rFonts w:ascii="Times New Roman" w:hAnsi="Times New Roman" w:cs="Times New Roman"/>
                      <w:sz w:val="24"/>
                      <w:szCs w:val="24"/>
                    </w:rPr>
                    <w:t>sk. ieviešot risinājumus datu depersonalizācijai, kā arī personas pārvaldītai un kontrolētai datu koplietošanai", 2.1.3.1.i.0/1/23/I/VARAM/004</w:t>
                  </w:r>
                  <w:r w:rsidRPr="3098A4CD">
                    <w:rPr>
                      <w:rFonts w:ascii="Times New Roman" w:hAnsi="Times New Roman" w:cs="Times New Roman"/>
                      <w:sz w:val="24"/>
                      <w:szCs w:val="24"/>
                    </w:rPr>
                    <w:t>.</w:t>
                  </w:r>
                </w:p>
                <w:p w14:paraId="446D01D6" w14:textId="01E01662"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Apliecinām dubultā finansējuma riska neesību attiecībā uz norādīto projektu, kā arī apliecinām, ka projekta īstenošanas laikā dubultā finansējuma risks ar saistītām aktivitātēm tiks stingri uzraudzīts</w:t>
                  </w:r>
                </w:p>
              </w:tc>
            </w:tr>
          </w:tbl>
          <w:p w14:paraId="18B781A6"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3. Projekta mērķis un galvenie ieguvumi</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2804"/>
              <w:gridCol w:w="3647"/>
              <w:gridCol w:w="1496"/>
              <w:gridCol w:w="1403"/>
            </w:tblGrid>
            <w:tr w:rsidR="006A3D72" w:rsidRPr="00F72E46" w14:paraId="7751E8F4" w14:textId="77777777" w:rsidTr="00005CE3">
              <w:tc>
                <w:tcPr>
                  <w:tcW w:w="1500" w:type="pct"/>
                  <w:tcBorders>
                    <w:top w:val="outset" w:sz="6" w:space="0" w:color="414142"/>
                    <w:left w:val="outset" w:sz="6" w:space="0" w:color="414142"/>
                    <w:bottom w:val="outset" w:sz="6" w:space="0" w:color="414142"/>
                    <w:right w:val="outset" w:sz="6" w:space="0" w:color="414142"/>
                  </w:tcBorders>
                  <w:hideMark/>
                </w:tcPr>
                <w:p w14:paraId="52F56C95" w14:textId="77777777" w:rsidR="006A3D72" w:rsidRPr="00F72E46" w:rsidRDefault="006A3D72" w:rsidP="000153C0">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3.1. Projekta mērķis un galvenais saturs</w:t>
                  </w:r>
                </w:p>
              </w:tc>
              <w:tc>
                <w:tcPr>
                  <w:tcW w:w="3500" w:type="pct"/>
                  <w:gridSpan w:val="3"/>
                  <w:tcBorders>
                    <w:top w:val="outset" w:sz="6" w:space="0" w:color="414142"/>
                    <w:left w:val="outset" w:sz="6" w:space="0" w:color="414142"/>
                    <w:bottom w:val="outset" w:sz="6" w:space="0" w:color="414142"/>
                    <w:right w:val="outset" w:sz="6" w:space="0" w:color="414142"/>
                  </w:tcBorders>
                  <w:hideMark/>
                </w:tcPr>
                <w:p w14:paraId="2C53819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u w:val="single"/>
                    </w:rPr>
                    <w:t>Mērķis:</w:t>
                  </w:r>
                </w:p>
                <w:p w14:paraId="1A9E9808"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 Izveidot platformu optimāli koordinētai onkoloģijas pacientu datu apmaiņai klīnisko universitāšu slimnīcu (KUS) ietvaros.</w:t>
                  </w:r>
                </w:p>
                <w:p w14:paraId="513B2427"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2. Panākt digitalizētu onkoloģijas pacientu ārstniecības un aprūpes datu apmaiņu starp KUS.</w:t>
                  </w:r>
                </w:p>
                <w:p w14:paraId="64E6BD5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Projekta mērķis tiek uzskatīts par sasniegtu, ja īstenotas projektā paredzētās aktivitātes.</w:t>
                  </w:r>
                </w:p>
                <w:p w14:paraId="02F99B67" w14:textId="0F616A02" w:rsidR="006A3D72" w:rsidRPr="00F72E46" w:rsidRDefault="006A3D72" w:rsidP="00F72E46">
                  <w:pPr>
                    <w:spacing w:after="0" w:line="240" w:lineRule="auto"/>
                    <w:jc w:val="both"/>
                    <w:rPr>
                      <w:rFonts w:ascii="Times New Roman" w:hAnsi="Times New Roman" w:cs="Times New Roman"/>
                      <w:sz w:val="24"/>
                      <w:szCs w:val="24"/>
                    </w:rPr>
                  </w:pPr>
                  <w:r w:rsidRPr="196A029A">
                    <w:rPr>
                      <w:rFonts w:ascii="Times New Roman" w:hAnsi="Times New Roman" w:cs="Times New Roman"/>
                      <w:sz w:val="24"/>
                      <w:szCs w:val="24"/>
                      <w:u w:val="single"/>
                    </w:rPr>
                    <w:t>Galvenais saturs:</w:t>
                  </w:r>
                  <w:r w:rsidRPr="196A029A">
                    <w:rPr>
                      <w:rFonts w:ascii="Times New Roman" w:hAnsi="Times New Roman" w:cs="Times New Roman"/>
                      <w:sz w:val="24"/>
                      <w:szCs w:val="24"/>
                    </w:rPr>
                    <w:t xml:space="preserve"> Covid-19 pandēmija palīdzēja izgaismot dažādu sadarbības modeļu nepieciešamību, lai varētu nodrošināt pakalpojumu nepārtrauktību un efektīvu īstenošanu. Procesu vienota transformācija atbilstoši digitālās vides prasībām un iespējām ir efektīvākais veids, kā nodrošināt proaktīvu sadarbību starp slimnīcu ārstniecības speciālistiem. Ir panākta vienošanās starp RAKUS, PSKUS un BKUS, ka onkoloģijas pacientu datu apmaiņas process ir jātransformē, to unificējot un pielāgojot digitālajai videi. </w:t>
                  </w:r>
                </w:p>
                <w:p w14:paraId="05C08FA6" w14:textId="7A13C982" w:rsidR="006A3D72"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Vienotās veselības nozares elektroniskās informācijas sistēmas (e-veselības IS) funkcionalitātes attīstībā iekļauta gan strukturēta pacienta izrakstu, gan laboratorijas izmeklējumu datu uzkrāšana no ārstniecības iestādēm, taču vērtību ārstniecībai nodrošina arī vēsturisko datu pieejamība laika periodā pirms e-veselības IS atbilstošas funkcionalitātes izstrādes. KUS ir nepieciešamas atbilstošas biznesa IS iespējas, kas tiks veidotas kopīgā onkoloģijas pacientu datu apmaiņas platformā un atsevišķo slimnīcu dažādus biznesa procesus atbalstošo sistēmu pielāgošanā datu apmaiņas vajadzībām. </w:t>
                  </w:r>
                </w:p>
                <w:p w14:paraId="5D36DFA4" w14:textId="5BAD8FCB" w:rsidR="006A3D72"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Projekta ietvaros tiks izstrādāti pielāgojumi esošajām slimnīcu sistēmām un/vai tiks izstrādātas jaunas sistēmas, lai nodrošinātu vienotu datu apmaiņu starp KUS, izmantojot BKUS slimnīcas informācijas sistēmu Andromeda</w:t>
                  </w:r>
                  <w:r>
                    <w:rPr>
                      <w:rFonts w:ascii="Times New Roman" w:hAnsi="Times New Roman" w:cs="Times New Roman"/>
                      <w:sz w:val="24"/>
                      <w:szCs w:val="24"/>
                    </w:rPr>
                    <w:t>, kā arī nodrošinot epidemioloģisko datu apmaiņu ar SPKC</w:t>
                  </w:r>
                  <w:r w:rsidRPr="359AEA39">
                    <w:rPr>
                      <w:rFonts w:ascii="Times New Roman" w:hAnsi="Times New Roman" w:cs="Times New Roman"/>
                      <w:sz w:val="24"/>
                      <w:szCs w:val="24"/>
                    </w:rPr>
                    <w:t>. Ņ</w:t>
                  </w:r>
                  <w:r w:rsidRPr="359AEA39">
                    <w:rPr>
                      <w:rFonts w:ascii="Times New Roman" w:eastAsiaTheme="minorEastAsia" w:hAnsi="Times New Roman" w:cs="Times New Roman"/>
                      <w:sz w:val="24"/>
                      <w:szCs w:val="24"/>
                    </w:rPr>
                    <w:t>emot vērā, ka LDVC paredzēts centralizēt veselības nozarē izmantoto informācijas sistēmu uzturēšanu un pārvaldīšanu, LDVC projekta īstenošanas posmā tiek iesaistīta kā projekta partneris ar</w:t>
                  </w:r>
                  <w:r w:rsidRPr="359AEA39">
                    <w:rPr>
                      <w:rFonts w:eastAsiaTheme="minorEastAsia"/>
                      <w:sz w:val="24"/>
                      <w:szCs w:val="24"/>
                    </w:rPr>
                    <w:t xml:space="preserve"> </w:t>
                  </w:r>
                  <w:r w:rsidRPr="359AEA39">
                    <w:rPr>
                      <w:rFonts w:ascii="Times New Roman" w:hAnsi="Times New Roman" w:cs="Times New Roman"/>
                      <w:sz w:val="24"/>
                      <w:szCs w:val="24"/>
                    </w:rPr>
                    <w:t xml:space="preserve">attiecīgu finansējumu, piesaistot neieciešamos speciālistus uzdevuma izpildei un veiksmīgai datu apmaiņas nodrošināšanai starp KUS, kā arī informācijas sistēmas Andromeda ieviešanas uzsākšanai RAKUS un PSKUS. </w:t>
                  </w:r>
                  <w:r>
                    <w:rPr>
                      <w:rFonts w:ascii="Times New Roman" w:hAnsi="Times New Roman" w:cs="Times New Roman"/>
                      <w:sz w:val="24"/>
                      <w:szCs w:val="24"/>
                    </w:rPr>
                    <w:t>SPKC tiek iesaistīta kā partneris ar attiecīgu finansējumu, digitālai epidemioloģisko datu uzraudzībai un monitoringam.</w:t>
                  </w:r>
                </w:p>
                <w:p w14:paraId="1DB3405E" w14:textId="632DD725"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Projekta ietvaros veiktajām izstrādēm un pielāgojumiem pēc to pabeigšanas tiks nodrošināta to darbība vismaz 60 mēnešus pēc projekta beigām. Datu izplatīšana tiks veidota, izmantojot arī Datu izplatīšanas un pārvaldības platformu (DAGR)</w:t>
                  </w:r>
                  <w:r w:rsidRPr="359AEA39">
                    <w:rPr>
                      <w:rFonts w:ascii="Times New Roman" w:hAnsi="Times New Roman" w:cs="Times New Roman"/>
                      <w:sz w:val="24"/>
                      <w:szCs w:val="24"/>
                      <w:vertAlign w:val="superscript"/>
                    </w:rPr>
                    <w:t>1</w:t>
                  </w:r>
                  <w:r w:rsidRPr="359AEA39">
                    <w:rPr>
                      <w:rFonts w:ascii="Times New Roman" w:hAnsi="Times New Roman" w:cs="Times New Roman"/>
                      <w:sz w:val="24"/>
                      <w:szCs w:val="24"/>
                    </w:rPr>
                    <w:t> un e-veselības IS citu datu izmantotāju datu apgādei, tādējādi iekļaujoties valsts veidotajā IKT koplietošanas un izplatīšanas arhitektūrā. Lai nodrošinātu sistēmu savietojamību un ilgtermiņa IT arhitektūras vienotu pieeju un standartizāciju, datu apmaiņas ieviešanu koordinē un pārrauga LDVC, kura uzdevums ir attīstīt un efektīvi pārvaldīt veselības nozares digitalizāciju, veicinot iesaistīto pušu sadarbību un radot nozarei nepieciešamos digitālās veselības pakalpojumus, kā arī nodrošināt veselības aprūpes IKT infrastruktūras pilnveidi un digitālo tehnoloģiju plašāku izmantošanu veselības aprūpē.</w:t>
                  </w:r>
                </w:p>
                <w:p w14:paraId="6672521E" w14:textId="187E6FC4"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Vienlaikus ar IKT risinājumu izveidi KUS tiks pārskatītas ārstniecības un aprūpes procedūras, lai panāktu, ka onkoloģijas pacientu ārstniecības un aprūpes datu apmaiņa starp KUS ir digitalizēta.</w:t>
                  </w:r>
                </w:p>
                <w:p w14:paraId="4AC54488" w14:textId="0B4115F0"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Pacientu ieguvums būs digitalizēti onkoloģijas pacientu ārstniecības un aprūpes dati, tai skaitā elektroniski pieejami gan aktuālie, gan vēsturiskie izmeklējumi, datu aprite digitālā veidā starp KUS, kā arī to pieejamība pārējām ārstniecības iestādēm un dienestiem, KUS nodrošinot datu padošanu uz valsts veselības sistēmu, ko uztur LDVC.</w:t>
                  </w:r>
                </w:p>
                <w:p w14:paraId="66687F80" w14:textId="706961DC" w:rsidR="006A3D72" w:rsidRDefault="006A3D72">
                  <w:pPr>
                    <w:spacing w:after="0" w:line="240" w:lineRule="auto"/>
                    <w:jc w:val="both"/>
                    <w:rPr>
                      <w:rFonts w:ascii="Times New Roman" w:hAnsi="Times New Roman" w:cs="Times New Roman"/>
                      <w:sz w:val="24"/>
                      <w:szCs w:val="24"/>
                    </w:rPr>
                  </w:pPr>
                  <w:r w:rsidRPr="196A029A">
                    <w:rPr>
                      <w:rFonts w:ascii="Times New Roman" w:hAnsi="Times New Roman" w:cs="Times New Roman"/>
                      <w:sz w:val="24"/>
                      <w:szCs w:val="24"/>
                    </w:rPr>
                    <w:t xml:space="preserve">Viena risinājuma izmantošana KUS, iesaistot LDVC efektīvas pārvaldības nodrošināšanai, ļauj kopīgi izmantot resursus, samazinot izmaksas un palielinot efektivitāti, </w:t>
                  </w:r>
                  <w:r w:rsidRPr="137DC31E">
                    <w:rPr>
                      <w:rFonts w:ascii="Times New Roman" w:hAnsi="Times New Roman" w:cs="Times New Roman"/>
                      <w:sz w:val="24"/>
                      <w:szCs w:val="24"/>
                    </w:rPr>
                    <w:t>atbalstot standartizētu procesu un procedūr</w:t>
                  </w:r>
                  <w:r>
                    <w:rPr>
                      <w:rFonts w:ascii="Times New Roman" w:hAnsi="Times New Roman" w:cs="Times New Roman"/>
                      <w:sz w:val="24"/>
                      <w:szCs w:val="24"/>
                    </w:rPr>
                    <w:t>u ieviešanu KUS</w:t>
                  </w:r>
                  <w:r w:rsidRPr="196A029A">
                    <w:rPr>
                      <w:rFonts w:ascii="Times New Roman" w:hAnsi="Times New Roman" w:cs="Times New Roman"/>
                      <w:sz w:val="24"/>
                      <w:szCs w:val="24"/>
                    </w:rPr>
                    <w:t xml:space="preserve">, un ļaujot veicināt ātrāku inovāciju veselības nozarē. </w:t>
                  </w:r>
                </w:p>
                <w:p w14:paraId="1F581CD1" w14:textId="6267CAC4" w:rsidR="006A3D72" w:rsidRDefault="006A3D72" w:rsidP="00377BF4">
                  <w:pPr>
                    <w:spacing w:after="0" w:line="240" w:lineRule="auto"/>
                    <w:jc w:val="both"/>
                    <w:rPr>
                      <w:rFonts w:ascii="Times New Roman" w:hAnsi="Times New Roman" w:cs="Times New Roman"/>
                      <w:sz w:val="24"/>
                      <w:szCs w:val="24"/>
                    </w:rPr>
                  </w:pPr>
                  <w:r w:rsidRPr="196A029A">
                    <w:rPr>
                      <w:rFonts w:ascii="Times New Roman" w:hAnsi="Times New Roman" w:cs="Times New Roman"/>
                      <w:sz w:val="24"/>
                      <w:szCs w:val="24"/>
                    </w:rPr>
                    <w:t xml:space="preserve">Lai nodrošinātu </w:t>
                  </w:r>
                  <w:r w:rsidRPr="21355E0E">
                    <w:rPr>
                      <w:rFonts w:ascii="Times New Roman" w:hAnsi="Times New Roman" w:cs="Times New Roman"/>
                      <w:sz w:val="24"/>
                      <w:szCs w:val="24"/>
                    </w:rPr>
                    <w:t xml:space="preserve">datu </w:t>
                  </w:r>
                  <w:r w:rsidRPr="13078E79">
                    <w:rPr>
                      <w:rFonts w:ascii="Times New Roman" w:hAnsi="Times New Roman" w:cs="Times New Roman"/>
                      <w:sz w:val="24"/>
                      <w:szCs w:val="24"/>
                    </w:rPr>
                    <w:t xml:space="preserve">apriti </w:t>
                  </w:r>
                  <w:r w:rsidRPr="46FE2EA8">
                    <w:rPr>
                      <w:rFonts w:ascii="Times New Roman" w:hAnsi="Times New Roman" w:cs="Times New Roman"/>
                      <w:sz w:val="24"/>
                      <w:szCs w:val="24"/>
                    </w:rPr>
                    <w:t xml:space="preserve">strukturētā </w:t>
                  </w:r>
                  <w:r w:rsidRPr="43F2017B">
                    <w:rPr>
                      <w:rFonts w:ascii="Times New Roman" w:hAnsi="Times New Roman" w:cs="Times New Roman"/>
                      <w:sz w:val="24"/>
                      <w:szCs w:val="24"/>
                    </w:rPr>
                    <w:t xml:space="preserve">veidā starp </w:t>
                  </w:r>
                  <w:r w:rsidRPr="6E5A71B2">
                    <w:rPr>
                      <w:rFonts w:ascii="Times New Roman" w:hAnsi="Times New Roman" w:cs="Times New Roman"/>
                      <w:sz w:val="24"/>
                      <w:szCs w:val="24"/>
                    </w:rPr>
                    <w:t xml:space="preserve">ārstniecības </w:t>
                  </w:r>
                  <w:r w:rsidRPr="58ABA8BF">
                    <w:rPr>
                      <w:rFonts w:ascii="Times New Roman" w:hAnsi="Times New Roman" w:cs="Times New Roman"/>
                      <w:sz w:val="24"/>
                      <w:szCs w:val="24"/>
                    </w:rPr>
                    <w:t>iestādēm</w:t>
                  </w:r>
                  <w:r w:rsidRPr="196A029A">
                    <w:rPr>
                      <w:rFonts w:ascii="Times New Roman" w:hAnsi="Times New Roman" w:cs="Times New Roman"/>
                      <w:sz w:val="24"/>
                      <w:szCs w:val="24"/>
                      <w:vertAlign w:val="superscript"/>
                    </w:rPr>
                    <w:t>2</w:t>
                  </w:r>
                  <w:r w:rsidRPr="196A029A">
                    <w:rPr>
                      <w:rFonts w:ascii="Times New Roman" w:hAnsi="Times New Roman" w:cs="Times New Roman"/>
                      <w:sz w:val="24"/>
                      <w:szCs w:val="24"/>
                    </w:rPr>
                    <w:t xml:space="preserve">, projekta ietvaros tiks pilnveidoti vairāki KUS IKT risinājumi. Atsevišķiem risinājumiem uzlabojumi tiks veikti centralizēti. </w:t>
                  </w:r>
                </w:p>
                <w:p w14:paraId="0CE2E402" w14:textId="5FADFA2B" w:rsidR="006A3D72" w:rsidRPr="00F72E46" w:rsidRDefault="006A3D72" w:rsidP="00AA5D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Ņemot vērā IS Andromeda</w:t>
                  </w:r>
                  <w:r w:rsidRPr="59D2F70E">
                    <w:rPr>
                      <w:rFonts w:ascii="Times New Roman" w:hAnsi="Times New Roman" w:cs="Times New Roman"/>
                      <w:sz w:val="24"/>
                      <w:szCs w:val="24"/>
                    </w:rPr>
                    <w:t xml:space="preserve"> nozīmību</w:t>
                  </w:r>
                  <w:r>
                    <w:rPr>
                      <w:rFonts w:ascii="Times New Roman" w:hAnsi="Times New Roman" w:cs="Times New Roman"/>
                      <w:sz w:val="24"/>
                      <w:szCs w:val="24"/>
                    </w:rPr>
                    <w:t xml:space="preserve"> </w:t>
                  </w:r>
                  <w:r w:rsidRPr="16F5B2FB">
                    <w:rPr>
                      <w:rFonts w:ascii="Times New Roman" w:hAnsi="Times New Roman" w:cs="Times New Roman"/>
                      <w:sz w:val="24"/>
                      <w:szCs w:val="24"/>
                    </w:rPr>
                    <w:t>veselības</w:t>
                  </w:r>
                  <w:r w:rsidRPr="00BF2573">
                    <w:rPr>
                      <w:rFonts w:ascii="Times New Roman" w:hAnsi="Times New Roman" w:cs="Times New Roman"/>
                      <w:sz w:val="24"/>
                      <w:szCs w:val="24"/>
                    </w:rPr>
                    <w:t xml:space="preserve"> aprūpes procesu digitalizācijā un tās plānoto pielietojumu ārstniecības iestādēs, </w:t>
                  </w:r>
                  <w:r w:rsidRPr="000C5C19">
                    <w:rPr>
                      <w:rFonts w:ascii="Times New Roman" w:hAnsi="Times New Roman" w:cs="Times New Roman"/>
                      <w:sz w:val="24"/>
                      <w:szCs w:val="24"/>
                    </w:rPr>
                    <w:t>vienota sistēmas attīstība ļautu nodrošināt, ka pieejamie IKT risinājumi tiek izmantoti pēc iespējas efektīvāk un tiek ieviesti jauni risinājumi, kas uzlabo kvalitāti, palielina pacientu drošību un ļauj apkalpot vairāk pacientu ar tiem pašiem resursiem. Vienots IKT risinājums KUS ļauj uzlabot efektivitāti ārstniecības iestādēs, samazinot izmaksas, kā arī veicināt inovācijas, nodrošinot vienotu platformu jaunu tehnoloģiju un pakalpojumu izstrādei. Vienotam IT risinājumam KUS</w:t>
                  </w:r>
                  <w:r w:rsidRPr="6BDA4D8A">
                    <w:rPr>
                      <w:rFonts w:ascii="Times New Roman" w:hAnsi="Times New Roman" w:cs="Times New Roman"/>
                      <w:sz w:val="24"/>
                      <w:szCs w:val="24"/>
                    </w:rPr>
                    <w:t xml:space="preserve"> nākotnē</w:t>
                  </w:r>
                  <w:r w:rsidRPr="000C5C19">
                    <w:rPr>
                      <w:rFonts w:ascii="Times New Roman" w:hAnsi="Times New Roman" w:cs="Times New Roman"/>
                      <w:sz w:val="24"/>
                      <w:szCs w:val="24"/>
                    </w:rPr>
                    <w:t xml:space="preserve"> varētu pievienoties arī citas slimnīcas, veidojot pamatus vienotai videi,</w:t>
                  </w:r>
                  <w:r w:rsidRPr="000C5C19" w:rsidDel="00377BF4">
                    <w:rPr>
                      <w:rFonts w:ascii="Times New Roman" w:hAnsi="Times New Roman" w:cs="Times New Roman"/>
                      <w:sz w:val="24"/>
                      <w:szCs w:val="24"/>
                    </w:rPr>
                    <w:t xml:space="preserve"> </w:t>
                  </w:r>
                  <w:r w:rsidRPr="000C5C19">
                    <w:rPr>
                      <w:rFonts w:ascii="Times New Roman" w:hAnsi="Times New Roman" w:cs="Times New Roman"/>
                      <w:sz w:val="24"/>
                      <w:szCs w:val="24"/>
                    </w:rPr>
                    <w:t>optimāla un digitāla ārstniecības procesa nodrošināšanai</w:t>
                  </w:r>
                </w:p>
              </w:tc>
            </w:tr>
            <w:tr w:rsidR="006A3D72" w:rsidRPr="00F72E46" w14:paraId="74E1974D" w14:textId="77777777" w:rsidTr="00005CE3">
              <w:tc>
                <w:tcPr>
                  <w:tcW w:w="1500" w:type="pct"/>
                  <w:tcBorders>
                    <w:top w:val="outset" w:sz="6" w:space="0" w:color="414142"/>
                    <w:left w:val="outset" w:sz="6" w:space="0" w:color="414142"/>
                    <w:bottom w:val="outset" w:sz="6" w:space="0" w:color="414142"/>
                    <w:right w:val="outset" w:sz="6" w:space="0" w:color="414142"/>
                  </w:tcBorders>
                  <w:hideMark/>
                </w:tcPr>
                <w:p w14:paraId="1C62DCBE" w14:textId="0CC75E15" w:rsidR="006A3D72" w:rsidRPr="00F72E46" w:rsidRDefault="006A3D72" w:rsidP="00B05D5D">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3.2. Projekta pamatojums (aktualitāte/nepieciešamība/</w:t>
                  </w:r>
                  <w:r w:rsidRPr="00F72E46">
                    <w:rPr>
                      <w:rFonts w:ascii="Times New Roman" w:hAnsi="Times New Roman" w:cs="Times New Roman"/>
                      <w:sz w:val="24"/>
                      <w:szCs w:val="24"/>
                    </w:rPr>
                    <w:br/>
                    <w:t>risināmā problēma)</w:t>
                  </w:r>
                </w:p>
              </w:tc>
              <w:tc>
                <w:tcPr>
                  <w:tcW w:w="3500" w:type="pct"/>
                  <w:gridSpan w:val="3"/>
                  <w:tcBorders>
                    <w:top w:val="outset" w:sz="6" w:space="0" w:color="414142"/>
                    <w:left w:val="outset" w:sz="6" w:space="0" w:color="414142"/>
                    <w:bottom w:val="outset" w:sz="6" w:space="0" w:color="414142"/>
                    <w:right w:val="single" w:sz="4" w:space="0" w:color="auto"/>
                  </w:tcBorders>
                  <w:hideMark/>
                </w:tcPr>
                <w:p w14:paraId="17BB217E" w14:textId="145F88E2"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Projektā tiks risināta problēma, ka KUS savstarpēji nav pieejami gan operatīvie, gan vēsturiskie ārstniecības un aprūpes dati (tai skaitā klīniskie un izmeklējumu dati) par onkoloģijas pacientiem.</w:t>
                  </w:r>
                </w:p>
                <w:p w14:paraId="0100A8A8" w14:textId="06D524BF"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Pilngadību sasniegušajiem pacientiem onkoloģijas pacientu aprūpes process pamatā tiek nodrošināts RAKUS un PSKUS, bet BKUS nodrošina minēto procesu to pacientu grupai, kuri vēl nav sasnieguši pilngadību. Daļa pacientu pēc pilngadības sasniegšanas turpina savu ārstēšanās procesu RAKUS vai PSKUS. Onkoloģijas pacientu ārstniecības process sastāv no vairākām daļām, un tā ietvaros pacientam tiek nodrošināti dažādi diagnostikas un ārstniecības pakalpojumi, kuru pieejamību kopumā valstī plāno NVD, bet nodrošina dažādi pakalpojumu sniedzēji (tai skaitā dažādas KUS, arī bērniem līdz 18 gadiem).</w:t>
                  </w:r>
                </w:p>
                <w:p w14:paraId="1152EC4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Onkoloģijas pacienta ārstniecībai jābūt nodrošinātai iekļaujošā veidā, lai nepasliktinātu pacienta stāvokli un pacientam būtu iespēja laikus saņemt nepieciešamos pakalpojumus.</w:t>
                  </w:r>
                </w:p>
                <w:p w14:paraId="353E4E6F" w14:textId="77777777" w:rsidR="006A3D72" w:rsidRPr="00F72E46" w:rsidRDefault="006A3D72" w:rsidP="00F72E46">
                  <w:pPr>
                    <w:spacing w:after="0" w:line="240" w:lineRule="auto"/>
                    <w:jc w:val="both"/>
                    <w:rPr>
                      <w:rFonts w:ascii="Times New Roman" w:hAnsi="Times New Roman" w:cs="Times New Roman"/>
                      <w:sz w:val="24"/>
                      <w:szCs w:val="24"/>
                    </w:rPr>
                  </w:pPr>
                  <w:r w:rsidRPr="196A029A">
                    <w:rPr>
                      <w:rFonts w:ascii="Times New Roman" w:hAnsi="Times New Roman" w:cs="Times New Roman"/>
                      <w:sz w:val="24"/>
                      <w:szCs w:val="24"/>
                    </w:rPr>
                    <w:t>Šobrīd ārstniecības un aprūpes pakalpojumu rezultāti KUS tiek uzkrāti gan elektroniskā veidā, gan papīra formā pie katra pakalpojumu sniedzēja individuāli veidotā pieejā, līdz ar to uzraugošajiem ārstiem ir ļoti sarežģīti pārvaldīt pacienta ārstēšanas procesu KUS un ārstniecības procesa nodrošinātājiem ir laikietilpīgi iegūt datus, kas raksturo pacienta stāvokli un ārstniecības gaitu konkrētajā laika sprīdī.</w:t>
                  </w:r>
                </w:p>
                <w:p w14:paraId="3253CEFB"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Kopējo šobrīd manuāli vai daļēji digitāli apstrādājamo datu apjomu onkoloģijas jomā raksturo šādi skaitļi:</w:t>
                  </w:r>
                </w:p>
                <w:p w14:paraId="54383C6D"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kopējais ambulatoro onkoloģijas pacientu ārstniecības epizožu skaits RAKUS – 201 500, BKUS – 3000;</w:t>
                  </w:r>
                </w:p>
                <w:p w14:paraId="0C72FD8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kopējais onkoloģijas pacientu stacionāro ārstniecības epizožu skaits RAKUS – 32 500, BKUS – 900, PSKUS – 2200.</w:t>
                  </w:r>
                </w:p>
                <w:p w14:paraId="3273D5D7" w14:textId="3AB1D95A" w:rsidR="006A3D72" w:rsidRPr="00F72E46" w:rsidRDefault="006A3D72" w:rsidP="196A029A">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Lai šo procesu uzlabotu, </w:t>
                  </w:r>
                  <w:r>
                    <w:rPr>
                      <w:rFonts w:ascii="Times New Roman" w:hAnsi="Times New Roman" w:cs="Times New Roman"/>
                      <w:sz w:val="24"/>
                      <w:szCs w:val="24"/>
                    </w:rPr>
                    <w:t>LVDC</w:t>
                  </w:r>
                  <w:r w:rsidRPr="359AEA39">
                    <w:rPr>
                      <w:rFonts w:ascii="Times New Roman" w:hAnsi="Times New Roman" w:cs="Times New Roman"/>
                      <w:sz w:val="24"/>
                      <w:szCs w:val="24"/>
                    </w:rPr>
                    <w:t xml:space="preserve"> turpina Onkoloģijas reģistra IS izstrādi, kas nodrošinās koplietošanas klasifikatoru uzturēšanu (ICD-10, ICD-O-3.2, TNM u. c.), ārstniecības sniegto pakalpojumu pamatdatus, pamatdatus par pacientu, kā arī turpina e-veselības IS funkcionalitātes attīstīšanu. </w:t>
                  </w:r>
                </w:p>
                <w:p w14:paraId="20DF77BE" w14:textId="30632853"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Šā projekta ietvaros tiks izveidots vienots modelis datu apmaiņai par onkoloģijas pacienta ārstēšanas procesu KUS tādā apjomā, lai onkoloģijas ārstniecības profesionāļi varētu saņemt pilnu notikumu detalizāciju, tai skaitā savu pakalpojumu rezultātus. Datu apmaiņa starp KUS sistēmām tiks organizēta, </w:t>
                  </w:r>
                  <w:r w:rsidR="007F3010" w:rsidRPr="359AEA39">
                    <w:rPr>
                      <w:rFonts w:ascii="Times New Roman" w:hAnsi="Times New Roman" w:cs="Times New Roman"/>
                      <w:sz w:val="24"/>
                      <w:szCs w:val="24"/>
                    </w:rPr>
                    <w:t>ta</w:t>
                  </w:r>
                  <w:r w:rsidR="007F3010">
                    <w:rPr>
                      <w:rFonts w:ascii="Times New Roman" w:hAnsi="Times New Roman" w:cs="Times New Roman"/>
                      <w:sz w:val="24"/>
                      <w:szCs w:val="24"/>
                    </w:rPr>
                    <w:t>i</w:t>
                  </w:r>
                  <w:r w:rsidR="007F3010" w:rsidRPr="359AEA39">
                    <w:rPr>
                      <w:rFonts w:ascii="Times New Roman" w:hAnsi="Times New Roman" w:cs="Times New Roman"/>
                      <w:sz w:val="24"/>
                      <w:szCs w:val="24"/>
                    </w:rPr>
                    <w:t xml:space="preserve"> </w:t>
                  </w:r>
                  <w:r w:rsidRPr="359AEA39">
                    <w:rPr>
                      <w:rFonts w:ascii="Times New Roman" w:hAnsi="Times New Roman" w:cs="Times New Roman"/>
                      <w:sz w:val="24"/>
                      <w:szCs w:val="24"/>
                    </w:rPr>
                    <w:t>skaitā izmantojot DAGR un e-veselības IS iespējas.</w:t>
                  </w:r>
                </w:p>
                <w:p w14:paraId="3801774F" w14:textId="5F58E44D"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Onkoloģijas pacientu datu apmaiņas platformas vadošās slimnīcas ir RAKUS, PSKUS un BKUS, un šo slimnīcu biznesa sistēmas ir tās, kas nodrošinās faktiskos datus. Šī vajadzība arī tiks īstenota projekta gaitā, veicot atbilstošus pielāgojumus esošajām KUS IS, lai </w:t>
                  </w:r>
                  <w:r w:rsidRPr="359AEA39">
                    <w:rPr>
                      <w:rFonts w:ascii="Times New Roman" w:eastAsia="Times New Roman" w:hAnsi="Times New Roman" w:cs="Times New Roman"/>
                      <w:sz w:val="24"/>
                      <w:szCs w:val="24"/>
                    </w:rPr>
                    <w:t>nodrošinātu vienotu datu apmaiņu starp KUS, izmantojot BKUS slimnīcas informācijas sistēmu Andromeda, un LDVC izstrādājot nozares IKT arhitektūrai atbilstošu pārvaldības modeli</w:t>
                  </w:r>
                  <w:r w:rsidRPr="359AEA39">
                    <w:rPr>
                      <w:rFonts w:ascii="Times New Roman" w:hAnsi="Times New Roman" w:cs="Times New Roman"/>
                      <w:sz w:val="24"/>
                      <w:szCs w:val="24"/>
                    </w:rPr>
                    <w:t>.</w:t>
                  </w:r>
                </w:p>
                <w:p w14:paraId="2B4AEFE3" w14:textId="670ED6C9"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Atbilstoši Ministru kabineta 2022. gada 14. jūlija noteikumu Nr. 435 "Eiropas Savienības Atveseļošanas un noturības mehānisma plāna 2.</w:t>
                  </w:r>
                  <w:r w:rsidR="00AA5D12">
                    <w:rPr>
                      <w:rFonts w:ascii="Times New Roman" w:hAnsi="Times New Roman" w:cs="Times New Roman"/>
                      <w:sz w:val="24"/>
                      <w:szCs w:val="24"/>
                    </w:rPr>
                    <w:t> </w:t>
                  </w:r>
                  <w:r w:rsidRPr="00F72E46">
                    <w:rPr>
                      <w:rFonts w:ascii="Times New Roman" w:hAnsi="Times New Roman" w:cs="Times New Roman"/>
                      <w:sz w:val="24"/>
                      <w:szCs w:val="24"/>
                    </w:rPr>
                    <w:t>komponentes "Digitālā transformācija" 2.1. reformu un investīciju virziena "Valsts pārvaldes, tai skaitā pašvaldību, digitālā transformācija" īstenošanas noteikumi" 4. pielikumam projekts tiks īstenots 2.1.3.1. nolūka "Ārstniecības iestāžu procesu digitālā transformācija un ārstniecības procesā radīto datu pārvaldība" ietvaros</w:t>
                  </w:r>
                </w:p>
              </w:tc>
            </w:tr>
            <w:tr w:rsidR="006A3D72" w:rsidRPr="00F72E46" w14:paraId="023601E3" w14:textId="77777777" w:rsidTr="008464D2">
              <w:tc>
                <w:tcPr>
                  <w:tcW w:w="1500" w:type="pct"/>
                  <w:tcBorders>
                    <w:top w:val="outset" w:sz="6" w:space="0" w:color="414142"/>
                    <w:left w:val="outset" w:sz="6" w:space="0" w:color="414142"/>
                    <w:bottom w:val="outset" w:sz="6" w:space="0" w:color="414142"/>
                    <w:right w:val="outset" w:sz="6" w:space="0" w:color="414142"/>
                  </w:tcBorders>
                  <w:vAlign w:val="center"/>
                  <w:hideMark/>
                </w:tcPr>
                <w:p w14:paraId="0D765BE3" w14:textId="77777777" w:rsidR="006A3D72" w:rsidRPr="00F72E46" w:rsidRDefault="006A3D72" w:rsidP="00F72E46">
                  <w:pPr>
                    <w:spacing w:after="0" w:line="240" w:lineRule="auto"/>
                    <w:jc w:val="both"/>
                    <w:rPr>
                      <w:rFonts w:ascii="Times New Roman" w:hAnsi="Times New Roman" w:cs="Times New Roman"/>
                      <w:sz w:val="24"/>
                      <w:szCs w:val="24"/>
                    </w:rPr>
                  </w:pPr>
                  <w:r w:rsidRPr="1E600782">
                    <w:rPr>
                      <w:rFonts w:ascii="Times New Roman" w:hAnsi="Times New Roman" w:cs="Times New Roman"/>
                      <w:sz w:val="24"/>
                      <w:szCs w:val="24"/>
                    </w:rPr>
                    <w:t>3.3. Projekta ieguvumi</w:t>
                  </w:r>
                  <w:r w:rsidRPr="1E600782">
                    <w:rPr>
                      <w:rFonts w:ascii="Times New Roman" w:hAnsi="Times New Roman" w:cs="Times New Roman"/>
                      <w:sz w:val="24"/>
                      <w:szCs w:val="24"/>
                      <w:vertAlign w:val="superscript"/>
                    </w:rPr>
                    <w:t>3</w:t>
                  </w:r>
                </w:p>
              </w:tc>
              <w:tc>
                <w:tcPr>
                  <w:tcW w:w="1950" w:type="pct"/>
                  <w:tcBorders>
                    <w:top w:val="outset" w:sz="6" w:space="0" w:color="414142"/>
                    <w:left w:val="outset" w:sz="6" w:space="0" w:color="414142"/>
                    <w:bottom w:val="outset" w:sz="6" w:space="0" w:color="414142"/>
                    <w:right w:val="outset" w:sz="6" w:space="0" w:color="414142"/>
                  </w:tcBorders>
                  <w:vAlign w:val="center"/>
                  <w:hideMark/>
                </w:tcPr>
                <w:p w14:paraId="10AFD122"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Ieguvuma mērīšanas vai verificēšanas metode un mērāmais rādītājs</w:t>
                  </w:r>
                  <w:r w:rsidRPr="00F72E46">
                    <w:rPr>
                      <w:rFonts w:ascii="Times New Roman" w:hAnsi="Times New Roman" w:cs="Times New Roman"/>
                      <w:sz w:val="24"/>
                      <w:szCs w:val="24"/>
                      <w:vertAlign w:val="superscript"/>
                    </w:rPr>
                    <w:t>4</w:t>
                  </w:r>
                </w:p>
              </w:tc>
              <w:tc>
                <w:tcPr>
                  <w:tcW w:w="800" w:type="pct"/>
                  <w:tcBorders>
                    <w:top w:val="outset" w:sz="6" w:space="0" w:color="414142"/>
                    <w:left w:val="outset" w:sz="6" w:space="0" w:color="414142"/>
                    <w:bottom w:val="outset" w:sz="6" w:space="0" w:color="414142"/>
                    <w:right w:val="outset" w:sz="6" w:space="0" w:color="414142"/>
                  </w:tcBorders>
                  <w:vAlign w:val="center"/>
                  <w:hideMark/>
                </w:tcPr>
                <w:p w14:paraId="43F6CBA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Vērtība</w:t>
                  </w:r>
                </w:p>
              </w:tc>
              <w:tc>
                <w:tcPr>
                  <w:tcW w:w="750" w:type="pct"/>
                  <w:tcBorders>
                    <w:top w:val="outset" w:sz="6" w:space="0" w:color="414142"/>
                    <w:left w:val="outset" w:sz="6" w:space="0" w:color="414142"/>
                    <w:bottom w:val="outset" w:sz="6" w:space="0" w:color="414142"/>
                    <w:right w:val="outset" w:sz="6" w:space="0" w:color="414142"/>
                  </w:tcBorders>
                  <w:vAlign w:val="center"/>
                  <w:hideMark/>
                </w:tcPr>
                <w:p w14:paraId="6DEEEE39"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Sasniegšanas laiks (gads)</w:t>
                  </w:r>
                </w:p>
              </w:tc>
            </w:tr>
            <w:tr w:rsidR="006A3D72" w:rsidRPr="00F72E46" w14:paraId="334CB4D2" w14:textId="77777777" w:rsidTr="008464D2">
              <w:tc>
                <w:tcPr>
                  <w:tcW w:w="1500" w:type="pct"/>
                  <w:tcBorders>
                    <w:top w:val="outset" w:sz="6" w:space="0" w:color="414142"/>
                    <w:left w:val="outset" w:sz="6" w:space="0" w:color="414142"/>
                    <w:bottom w:val="outset" w:sz="6" w:space="0" w:color="414142"/>
                    <w:right w:val="outset" w:sz="6" w:space="0" w:color="414142"/>
                  </w:tcBorders>
                  <w:hideMark/>
                </w:tcPr>
                <w:p w14:paraId="6CF31AA2" w14:textId="77777777" w:rsidR="006A3D72" w:rsidRPr="00F72E46" w:rsidRDefault="006A3D72" w:rsidP="00B05D5D">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3.3.1. Ieguvums slimnīcām – datu apmaiņas ātrums, kvalitāte</w:t>
                  </w:r>
                </w:p>
              </w:tc>
              <w:tc>
                <w:tcPr>
                  <w:tcW w:w="1950" w:type="pct"/>
                  <w:tcBorders>
                    <w:top w:val="outset" w:sz="6" w:space="0" w:color="414142"/>
                    <w:left w:val="outset" w:sz="6" w:space="0" w:color="414142"/>
                    <w:bottom w:val="outset" w:sz="6" w:space="0" w:color="414142"/>
                    <w:right w:val="outset" w:sz="6" w:space="0" w:color="414142"/>
                  </w:tcBorders>
                  <w:hideMark/>
                </w:tcPr>
                <w:p w14:paraId="4551A965"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Speciālisti, kas strādā vienotā informācijas telpā (pašlaik – 0)</w:t>
                  </w:r>
                </w:p>
              </w:tc>
              <w:tc>
                <w:tcPr>
                  <w:tcW w:w="800" w:type="pct"/>
                  <w:tcBorders>
                    <w:top w:val="outset" w:sz="6" w:space="0" w:color="414142"/>
                    <w:left w:val="outset" w:sz="6" w:space="0" w:color="414142"/>
                    <w:bottom w:val="outset" w:sz="6" w:space="0" w:color="414142"/>
                    <w:right w:val="outset" w:sz="6" w:space="0" w:color="414142"/>
                  </w:tcBorders>
                  <w:hideMark/>
                </w:tcPr>
                <w:p w14:paraId="68DC71DD"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360</w:t>
                  </w:r>
                </w:p>
              </w:tc>
              <w:tc>
                <w:tcPr>
                  <w:tcW w:w="750" w:type="pct"/>
                  <w:tcBorders>
                    <w:top w:val="outset" w:sz="6" w:space="0" w:color="414142"/>
                    <w:left w:val="outset" w:sz="6" w:space="0" w:color="414142"/>
                    <w:bottom w:val="outset" w:sz="6" w:space="0" w:color="414142"/>
                    <w:right w:val="outset" w:sz="6" w:space="0" w:color="414142"/>
                  </w:tcBorders>
                  <w:hideMark/>
                </w:tcPr>
                <w:p w14:paraId="6C0913E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2026. g.</w:t>
                  </w:r>
                </w:p>
              </w:tc>
            </w:tr>
            <w:tr w:rsidR="006A3D72" w:rsidRPr="00F72E46" w14:paraId="74173E2A" w14:textId="77777777" w:rsidTr="008464D2">
              <w:tc>
                <w:tcPr>
                  <w:tcW w:w="1500" w:type="pct"/>
                  <w:tcBorders>
                    <w:top w:val="outset" w:sz="6" w:space="0" w:color="414142"/>
                    <w:left w:val="outset" w:sz="6" w:space="0" w:color="414142"/>
                    <w:bottom w:val="outset" w:sz="6" w:space="0" w:color="414142"/>
                    <w:right w:val="outset" w:sz="6" w:space="0" w:color="414142"/>
                  </w:tcBorders>
                  <w:hideMark/>
                </w:tcPr>
                <w:p w14:paraId="20C1AF89" w14:textId="205AB828" w:rsidR="006A3D72" w:rsidRPr="00F72E46" w:rsidRDefault="006A3D72" w:rsidP="00B05D5D">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3.3.2. Ieguvums slimnīcām</w:t>
                  </w:r>
                  <w:r>
                    <w:rPr>
                      <w:rFonts w:ascii="Times New Roman" w:hAnsi="Times New Roman" w:cs="Times New Roman"/>
                      <w:sz w:val="24"/>
                      <w:szCs w:val="24"/>
                    </w:rPr>
                    <w:t xml:space="preserve"> un citām iestādēm</w:t>
                  </w:r>
                  <w:r w:rsidRPr="00F72E46">
                    <w:rPr>
                      <w:rFonts w:ascii="Times New Roman" w:hAnsi="Times New Roman" w:cs="Times New Roman"/>
                      <w:sz w:val="24"/>
                      <w:szCs w:val="24"/>
                    </w:rPr>
                    <w:t xml:space="preserve"> – efektīvāka datu apmaiņa, pieejamība</w:t>
                  </w:r>
                </w:p>
              </w:tc>
              <w:tc>
                <w:tcPr>
                  <w:tcW w:w="1950" w:type="pct"/>
                  <w:tcBorders>
                    <w:top w:val="outset" w:sz="6" w:space="0" w:color="414142"/>
                    <w:left w:val="outset" w:sz="6" w:space="0" w:color="414142"/>
                    <w:bottom w:val="outset" w:sz="6" w:space="0" w:color="414142"/>
                    <w:right w:val="outset" w:sz="6" w:space="0" w:color="414142"/>
                  </w:tcBorders>
                  <w:hideMark/>
                </w:tcPr>
                <w:p w14:paraId="4177ED0B"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Iestādes, kas koplieto vienoto informācijas telpu</w:t>
                  </w:r>
                </w:p>
              </w:tc>
              <w:tc>
                <w:tcPr>
                  <w:tcW w:w="800" w:type="pct"/>
                  <w:tcBorders>
                    <w:top w:val="outset" w:sz="6" w:space="0" w:color="414142"/>
                    <w:left w:val="outset" w:sz="6" w:space="0" w:color="414142"/>
                    <w:bottom w:val="outset" w:sz="6" w:space="0" w:color="414142"/>
                    <w:right w:val="outset" w:sz="6" w:space="0" w:color="414142"/>
                  </w:tcBorders>
                  <w:hideMark/>
                </w:tcPr>
                <w:p w14:paraId="30CD8368" w14:textId="1DB22943"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750" w:type="pct"/>
                  <w:tcBorders>
                    <w:top w:val="outset" w:sz="6" w:space="0" w:color="414142"/>
                    <w:left w:val="outset" w:sz="6" w:space="0" w:color="414142"/>
                    <w:bottom w:val="outset" w:sz="6" w:space="0" w:color="414142"/>
                    <w:right w:val="outset" w:sz="6" w:space="0" w:color="414142"/>
                  </w:tcBorders>
                  <w:hideMark/>
                </w:tcPr>
                <w:p w14:paraId="57370066"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2026. g.</w:t>
                  </w:r>
                </w:p>
              </w:tc>
            </w:tr>
            <w:tr w:rsidR="006A3D72" w:rsidRPr="00F72E46" w14:paraId="290D315C" w14:textId="77777777" w:rsidTr="008464D2">
              <w:tc>
                <w:tcPr>
                  <w:tcW w:w="1500" w:type="pct"/>
                  <w:tcBorders>
                    <w:top w:val="outset" w:sz="6" w:space="0" w:color="414142"/>
                    <w:left w:val="outset" w:sz="6" w:space="0" w:color="414142"/>
                    <w:bottom w:val="outset" w:sz="6" w:space="0" w:color="414142"/>
                    <w:right w:val="outset" w:sz="6" w:space="0" w:color="414142"/>
                  </w:tcBorders>
                  <w:hideMark/>
                </w:tcPr>
                <w:p w14:paraId="3AB8CDCA" w14:textId="3F52C6AB" w:rsidR="006A3D72" w:rsidRPr="00F72E46" w:rsidRDefault="006A3D72" w:rsidP="00B05D5D">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3.3.3. Ieguvums pacientiem</w:t>
                  </w:r>
                  <w:r w:rsidR="00A80B9E">
                    <w:rPr>
                      <w:rFonts w:ascii="Times New Roman" w:hAnsi="Times New Roman" w:cs="Times New Roman"/>
                      <w:sz w:val="24"/>
                      <w:szCs w:val="24"/>
                    </w:rPr>
                    <w:t> </w:t>
                  </w:r>
                  <w:r w:rsidRPr="00F72E46">
                    <w:rPr>
                      <w:rFonts w:ascii="Times New Roman" w:hAnsi="Times New Roman" w:cs="Times New Roman"/>
                      <w:sz w:val="24"/>
                      <w:szCs w:val="24"/>
                    </w:rPr>
                    <w:t>– pacientu datu pieejamība pēc katras ambulatorās ārstniecības un aprūpes epizodes, datu pieejamība ārstniecības un aprūpes procesa nepārtrauktībai un kvalitatīvu ārstniecības un aprūpes lēmumu pieņemšanai. Tehniskā gatavība nodot datus uz pacientiem pieejamām platformām</w:t>
                  </w:r>
                </w:p>
              </w:tc>
              <w:tc>
                <w:tcPr>
                  <w:tcW w:w="1950" w:type="pct"/>
                  <w:tcBorders>
                    <w:top w:val="outset" w:sz="6" w:space="0" w:color="414142"/>
                    <w:left w:val="outset" w:sz="6" w:space="0" w:color="414142"/>
                    <w:bottom w:val="outset" w:sz="6" w:space="0" w:color="414142"/>
                    <w:right w:val="outset" w:sz="6" w:space="0" w:color="414142"/>
                  </w:tcBorders>
                  <w:hideMark/>
                </w:tcPr>
                <w:p w14:paraId="5EBB9406"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Kopējais ambulatoro onkoloģijas pacientu ārstniecības epizožu skaits gadā</w:t>
                  </w:r>
                </w:p>
              </w:tc>
              <w:tc>
                <w:tcPr>
                  <w:tcW w:w="800" w:type="pct"/>
                  <w:tcBorders>
                    <w:top w:val="outset" w:sz="6" w:space="0" w:color="414142"/>
                    <w:left w:val="outset" w:sz="6" w:space="0" w:color="414142"/>
                    <w:bottom w:val="outset" w:sz="6" w:space="0" w:color="414142"/>
                    <w:right w:val="outset" w:sz="6" w:space="0" w:color="414142"/>
                  </w:tcBorders>
                  <w:hideMark/>
                </w:tcPr>
                <w:p w14:paraId="5D2A9B9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143 000</w:t>
                  </w:r>
                </w:p>
              </w:tc>
              <w:tc>
                <w:tcPr>
                  <w:tcW w:w="750" w:type="pct"/>
                  <w:tcBorders>
                    <w:top w:val="outset" w:sz="6" w:space="0" w:color="414142"/>
                    <w:left w:val="outset" w:sz="6" w:space="0" w:color="414142"/>
                    <w:bottom w:val="outset" w:sz="6" w:space="0" w:color="414142"/>
                    <w:right w:val="outset" w:sz="6" w:space="0" w:color="414142"/>
                  </w:tcBorders>
                  <w:hideMark/>
                </w:tcPr>
                <w:p w14:paraId="46A0FCC0" w14:textId="77777777" w:rsidR="006A3D72" w:rsidRPr="00F72E46" w:rsidRDefault="006A3D72" w:rsidP="00F72E46">
                  <w:pPr>
                    <w:spacing w:after="0" w:line="240" w:lineRule="auto"/>
                    <w:jc w:val="both"/>
                    <w:rPr>
                      <w:rFonts w:ascii="Times New Roman" w:hAnsi="Times New Roman" w:cs="Times New Roman"/>
                      <w:sz w:val="24"/>
                      <w:szCs w:val="24"/>
                    </w:rPr>
                  </w:pPr>
                  <w:r w:rsidRPr="196A029A">
                    <w:rPr>
                      <w:rFonts w:ascii="Times New Roman" w:hAnsi="Times New Roman" w:cs="Times New Roman"/>
                      <w:sz w:val="24"/>
                      <w:szCs w:val="24"/>
                    </w:rPr>
                    <w:t>2026. g.</w:t>
                  </w:r>
                </w:p>
              </w:tc>
            </w:tr>
            <w:tr w:rsidR="006A3D72" w:rsidRPr="00F72E46" w14:paraId="25840753" w14:textId="77777777" w:rsidTr="008464D2">
              <w:tc>
                <w:tcPr>
                  <w:tcW w:w="1500" w:type="pct"/>
                  <w:tcBorders>
                    <w:top w:val="outset" w:sz="6" w:space="0" w:color="414142"/>
                    <w:left w:val="outset" w:sz="6" w:space="0" w:color="414142"/>
                    <w:bottom w:val="outset" w:sz="6" w:space="0" w:color="414142"/>
                    <w:right w:val="outset" w:sz="6" w:space="0" w:color="414142"/>
                  </w:tcBorders>
                  <w:hideMark/>
                </w:tcPr>
                <w:p w14:paraId="7A2B6791" w14:textId="659C6C4E" w:rsidR="006A3D72" w:rsidRPr="00F72E46" w:rsidRDefault="006A3D72" w:rsidP="00B05D5D">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3.3.4. Ieguvums pacientiem</w:t>
                  </w:r>
                  <w:r w:rsidR="00A80B9E">
                    <w:rPr>
                      <w:rFonts w:ascii="Times New Roman" w:hAnsi="Times New Roman" w:cs="Times New Roman"/>
                      <w:sz w:val="24"/>
                      <w:szCs w:val="24"/>
                    </w:rPr>
                    <w:t> </w:t>
                  </w:r>
                  <w:r w:rsidRPr="00F72E46">
                    <w:rPr>
                      <w:rFonts w:ascii="Times New Roman" w:hAnsi="Times New Roman" w:cs="Times New Roman"/>
                      <w:sz w:val="24"/>
                      <w:szCs w:val="24"/>
                    </w:rPr>
                    <w:t>– datu pieejamība pēc katras stacionārās ārstniecības un aprūpes epizodes, datu pieejamība ārstniecības un aprūpes procesa nepārtrauktībai un kvalitatīvu ārstniecības un aprūpes lēmumu pieņemšanai. Tehniskā gatavība nodot datus uz pacientiem pieejamām platformām</w:t>
                  </w:r>
                </w:p>
              </w:tc>
              <w:tc>
                <w:tcPr>
                  <w:tcW w:w="1950" w:type="pct"/>
                  <w:tcBorders>
                    <w:top w:val="outset" w:sz="6" w:space="0" w:color="414142"/>
                    <w:left w:val="outset" w:sz="6" w:space="0" w:color="414142"/>
                    <w:bottom w:val="outset" w:sz="6" w:space="0" w:color="414142"/>
                    <w:right w:val="outset" w:sz="6" w:space="0" w:color="414142"/>
                  </w:tcBorders>
                  <w:hideMark/>
                </w:tcPr>
                <w:p w14:paraId="6E311B03"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Kopējais onkoloģijas pacientu stacionāro ārstniecības epizožu skaits gadā</w:t>
                  </w:r>
                </w:p>
              </w:tc>
              <w:tc>
                <w:tcPr>
                  <w:tcW w:w="800" w:type="pct"/>
                  <w:tcBorders>
                    <w:top w:val="outset" w:sz="6" w:space="0" w:color="414142"/>
                    <w:left w:val="outset" w:sz="6" w:space="0" w:color="414142"/>
                    <w:bottom w:val="outset" w:sz="6" w:space="0" w:color="414142"/>
                    <w:right w:val="outset" w:sz="6" w:space="0" w:color="414142"/>
                  </w:tcBorders>
                  <w:hideMark/>
                </w:tcPr>
                <w:p w14:paraId="6CE62D4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19 000</w:t>
                  </w:r>
                </w:p>
              </w:tc>
              <w:tc>
                <w:tcPr>
                  <w:tcW w:w="750" w:type="pct"/>
                  <w:tcBorders>
                    <w:top w:val="outset" w:sz="6" w:space="0" w:color="414142"/>
                    <w:left w:val="outset" w:sz="6" w:space="0" w:color="414142"/>
                    <w:bottom w:val="outset" w:sz="6" w:space="0" w:color="414142"/>
                    <w:right w:val="outset" w:sz="6" w:space="0" w:color="414142"/>
                  </w:tcBorders>
                  <w:hideMark/>
                </w:tcPr>
                <w:p w14:paraId="55652D34"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2026. g.</w:t>
                  </w:r>
                </w:p>
              </w:tc>
            </w:tr>
            <w:tr w:rsidR="006A3D72" w:rsidRPr="00F72E46" w14:paraId="7A35266B" w14:textId="77777777" w:rsidTr="008464D2">
              <w:tc>
                <w:tcPr>
                  <w:tcW w:w="1500" w:type="pct"/>
                  <w:tcBorders>
                    <w:top w:val="outset" w:sz="6" w:space="0" w:color="414142"/>
                    <w:left w:val="outset" w:sz="6" w:space="0" w:color="414142"/>
                    <w:bottom w:val="outset" w:sz="6" w:space="0" w:color="414142"/>
                    <w:right w:val="outset" w:sz="6" w:space="0" w:color="414142"/>
                  </w:tcBorders>
                </w:tcPr>
                <w:p w14:paraId="2F089AFA" w14:textId="70E0C8AE" w:rsidR="006A3D72" w:rsidRPr="00A80B9E" w:rsidRDefault="006A3D72" w:rsidP="00B05D5D">
                  <w:pPr>
                    <w:spacing w:after="0" w:line="240" w:lineRule="auto"/>
                    <w:rPr>
                      <w:rFonts w:ascii="Times New Roman" w:hAnsi="Times New Roman" w:cs="Times New Roman"/>
                      <w:sz w:val="24"/>
                      <w:szCs w:val="24"/>
                    </w:rPr>
                  </w:pPr>
                  <w:r w:rsidRPr="00A80B9E">
                    <w:rPr>
                      <w:rFonts w:ascii="Times New Roman" w:hAnsi="Times New Roman" w:cs="Times New Roman"/>
                      <w:sz w:val="24"/>
                      <w:szCs w:val="24"/>
                    </w:rPr>
                    <w:t>3.3.5. Ieguvums pacientiem</w:t>
                  </w:r>
                  <w:r w:rsidR="00AA5D12" w:rsidRPr="00A80B9E">
                    <w:rPr>
                      <w:rFonts w:ascii="Times New Roman" w:hAnsi="Times New Roman" w:cs="Times New Roman"/>
                      <w:sz w:val="24"/>
                      <w:szCs w:val="24"/>
                    </w:rPr>
                    <w:t> </w:t>
                  </w:r>
                  <w:r w:rsidRPr="00A80B9E">
                    <w:rPr>
                      <w:rFonts w:ascii="Times New Roman" w:hAnsi="Times New Roman" w:cs="Times New Roman"/>
                      <w:sz w:val="24"/>
                      <w:szCs w:val="24"/>
                    </w:rPr>
                    <w:t xml:space="preserve">– epidemioloģisko datu un </w:t>
                  </w:r>
                  <w:proofErr w:type="spellStart"/>
                  <w:r w:rsidRPr="00A80B9E">
                    <w:rPr>
                      <w:rFonts w:ascii="Times New Roman" w:hAnsi="Times New Roman" w:cs="Times New Roman"/>
                      <w:sz w:val="24"/>
                      <w:szCs w:val="24"/>
                    </w:rPr>
                    <w:t>pretepidēmijas</w:t>
                  </w:r>
                  <w:proofErr w:type="spellEnd"/>
                  <w:r w:rsidRPr="00A80B9E">
                    <w:rPr>
                      <w:rFonts w:ascii="Times New Roman" w:hAnsi="Times New Roman" w:cs="Times New Roman"/>
                      <w:sz w:val="24"/>
                      <w:szCs w:val="24"/>
                    </w:rPr>
                    <w:t xml:space="preserve"> pasākumu nodošanas operativitāte</w:t>
                  </w:r>
                </w:p>
              </w:tc>
              <w:tc>
                <w:tcPr>
                  <w:tcW w:w="1950" w:type="pct"/>
                  <w:tcBorders>
                    <w:top w:val="outset" w:sz="6" w:space="0" w:color="414142"/>
                    <w:left w:val="outset" w:sz="6" w:space="0" w:color="414142"/>
                    <w:bottom w:val="outset" w:sz="6" w:space="0" w:color="414142"/>
                    <w:right w:val="outset" w:sz="6" w:space="0" w:color="414142"/>
                  </w:tcBorders>
                </w:tcPr>
                <w:p w14:paraId="782E3A31" w14:textId="0928B526"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xml:space="preserve">Speciālisti, kas strādā </w:t>
                  </w:r>
                  <w:r>
                    <w:rPr>
                      <w:rFonts w:ascii="Times New Roman" w:hAnsi="Times New Roman" w:cs="Times New Roman"/>
                      <w:sz w:val="24"/>
                      <w:szCs w:val="24"/>
                    </w:rPr>
                    <w:t xml:space="preserve">ar epidemioloģiskiem datiem </w:t>
                  </w:r>
                  <w:r w:rsidRPr="00F72E46">
                    <w:rPr>
                      <w:rFonts w:ascii="Times New Roman" w:hAnsi="Times New Roman" w:cs="Times New Roman"/>
                      <w:sz w:val="24"/>
                      <w:szCs w:val="24"/>
                    </w:rPr>
                    <w:t>vienotā informācijas telpā (pašlaik – 0)</w:t>
                  </w:r>
                </w:p>
              </w:tc>
              <w:tc>
                <w:tcPr>
                  <w:tcW w:w="800" w:type="pct"/>
                  <w:tcBorders>
                    <w:top w:val="outset" w:sz="6" w:space="0" w:color="414142"/>
                    <w:left w:val="outset" w:sz="6" w:space="0" w:color="414142"/>
                    <w:bottom w:val="outset" w:sz="6" w:space="0" w:color="414142"/>
                    <w:right w:val="outset" w:sz="6" w:space="0" w:color="414142"/>
                  </w:tcBorders>
                </w:tcPr>
                <w:p w14:paraId="207B64AF" w14:textId="127D393B"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420</w:t>
                  </w:r>
                </w:p>
              </w:tc>
              <w:tc>
                <w:tcPr>
                  <w:tcW w:w="750" w:type="pct"/>
                  <w:tcBorders>
                    <w:top w:val="outset" w:sz="6" w:space="0" w:color="414142"/>
                    <w:left w:val="outset" w:sz="6" w:space="0" w:color="414142"/>
                    <w:bottom w:val="outset" w:sz="6" w:space="0" w:color="414142"/>
                    <w:right w:val="outset" w:sz="6" w:space="0" w:color="414142"/>
                  </w:tcBorders>
                </w:tcPr>
                <w:p w14:paraId="38D26338" w14:textId="182688C7"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2026.</w:t>
                  </w:r>
                  <w:r w:rsidR="00034161">
                    <w:rPr>
                      <w:rFonts w:ascii="Times New Roman" w:hAnsi="Times New Roman" w:cs="Times New Roman"/>
                      <w:sz w:val="24"/>
                      <w:szCs w:val="24"/>
                    </w:rPr>
                    <w:t xml:space="preserve"> </w:t>
                  </w:r>
                  <w:r>
                    <w:rPr>
                      <w:rFonts w:ascii="Times New Roman" w:hAnsi="Times New Roman" w:cs="Times New Roman"/>
                      <w:sz w:val="24"/>
                      <w:szCs w:val="24"/>
                    </w:rPr>
                    <w:t>g.</w:t>
                  </w:r>
                </w:p>
              </w:tc>
            </w:tr>
          </w:tbl>
          <w:p w14:paraId="5519B00D"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4. Nepieciešamā finansējuma apjoms un tā sadalījums pa projekta darbībām iznākumu sasniegšanai un būtisko izmaksu veidiem</w:t>
            </w:r>
          </w:p>
          <w:tbl>
            <w:tblPr>
              <w:tblW w:w="5000" w:type="pct"/>
              <w:tblBorders>
                <w:top w:val="outset" w:sz="6" w:space="0" w:color="414142"/>
                <w:left w:val="outset" w:sz="2" w:space="0" w:color="414142"/>
                <w:bottom w:val="outset" w:sz="2"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3364"/>
              <w:gridCol w:w="3647"/>
              <w:gridCol w:w="2339"/>
            </w:tblGrid>
            <w:tr w:rsidR="006A3D72" w:rsidRPr="00F72E46" w14:paraId="49786099" w14:textId="77777777" w:rsidTr="00005CE3">
              <w:trPr>
                <w:trHeight w:val="240"/>
              </w:trPr>
              <w:tc>
                <w:tcPr>
                  <w:tcW w:w="1799" w:type="pct"/>
                  <w:tcBorders>
                    <w:top w:val="outset" w:sz="6" w:space="0" w:color="414142"/>
                    <w:left w:val="outset" w:sz="6" w:space="0" w:color="414142"/>
                    <w:bottom w:val="outset" w:sz="6" w:space="0" w:color="414142"/>
                    <w:right w:val="outset" w:sz="6" w:space="0" w:color="414142"/>
                  </w:tcBorders>
                  <w:hideMark/>
                </w:tcPr>
                <w:p w14:paraId="5583C5B4" w14:textId="77777777" w:rsidR="006A3D72" w:rsidRPr="00F72E46" w:rsidRDefault="006A3D72" w:rsidP="00232AE5">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4.1. Atveseļošanas fonda plāna finansējums (kopā)</w:t>
                  </w:r>
                </w:p>
              </w:tc>
              <w:tc>
                <w:tcPr>
                  <w:tcW w:w="3201" w:type="pct"/>
                  <w:gridSpan w:val="2"/>
                  <w:tcBorders>
                    <w:top w:val="outset" w:sz="6" w:space="0" w:color="414142"/>
                    <w:left w:val="outset" w:sz="6" w:space="0" w:color="414142"/>
                    <w:bottom w:val="outset" w:sz="6" w:space="0" w:color="414142"/>
                    <w:right w:val="outset" w:sz="6" w:space="0" w:color="414142"/>
                  </w:tcBorders>
                  <w:hideMark/>
                </w:tcPr>
                <w:p w14:paraId="3B446235"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4.2. Plānotais pievienotās vērtības nodokļa (PVN) apmērs (kopā), ja tiks pieprasīta tā segšana</w:t>
                  </w:r>
                  <w:r w:rsidRPr="00F72E46">
                    <w:rPr>
                      <w:rFonts w:ascii="Times New Roman" w:hAnsi="Times New Roman" w:cs="Times New Roman"/>
                      <w:sz w:val="24"/>
                      <w:szCs w:val="24"/>
                      <w:vertAlign w:val="superscript"/>
                    </w:rPr>
                    <w:t>5</w:t>
                  </w:r>
                  <w:r w:rsidRPr="00F72E46">
                    <w:rPr>
                      <w:rFonts w:ascii="Times New Roman" w:hAnsi="Times New Roman" w:cs="Times New Roman"/>
                      <w:sz w:val="24"/>
                      <w:szCs w:val="24"/>
                    </w:rPr>
                    <w:t>, un avansa apmērs, ja plānots to pieprasīt</w:t>
                  </w:r>
                  <w:r w:rsidRPr="00F72E46">
                    <w:rPr>
                      <w:rFonts w:ascii="Times New Roman" w:hAnsi="Times New Roman" w:cs="Times New Roman"/>
                      <w:sz w:val="24"/>
                      <w:szCs w:val="24"/>
                      <w:vertAlign w:val="superscript"/>
                    </w:rPr>
                    <w:t>6</w:t>
                  </w:r>
                </w:p>
              </w:tc>
            </w:tr>
            <w:tr w:rsidR="006A3D72" w:rsidRPr="00F72E46" w14:paraId="6D990526" w14:textId="77777777" w:rsidTr="00005CE3">
              <w:trPr>
                <w:trHeight w:val="240"/>
              </w:trPr>
              <w:tc>
                <w:tcPr>
                  <w:tcW w:w="1799" w:type="pct"/>
                  <w:tcBorders>
                    <w:top w:val="outset" w:sz="6" w:space="0" w:color="414142"/>
                    <w:left w:val="outset" w:sz="6" w:space="0" w:color="414142"/>
                    <w:bottom w:val="single" w:sz="6" w:space="0" w:color="414142"/>
                    <w:right w:val="outset" w:sz="6" w:space="0" w:color="414142"/>
                  </w:tcBorders>
                  <w:hideMark/>
                </w:tcPr>
                <w:p w14:paraId="2A1EA327" w14:textId="4C9E4BA3" w:rsidR="006A3D72" w:rsidRPr="00A143C5" w:rsidRDefault="006A3D72" w:rsidP="4CB7E02F">
                  <w:pPr>
                    <w:spacing w:after="0" w:line="240" w:lineRule="auto"/>
                    <w:rPr>
                      <w:rFonts w:ascii="Times New Roman" w:hAnsi="Times New Roman" w:cs="Times New Roman"/>
                      <w:sz w:val="24"/>
                      <w:szCs w:val="24"/>
                    </w:rPr>
                  </w:pPr>
                  <w:r w:rsidRPr="00A143C5">
                    <w:rPr>
                      <w:rFonts w:ascii="Times New Roman" w:hAnsi="Times New Roman" w:cs="Times New Roman"/>
                      <w:sz w:val="24"/>
                      <w:szCs w:val="24"/>
                    </w:rPr>
                    <w:t>4 289 750,00 </w:t>
                  </w:r>
                  <w:r w:rsidRPr="00A143C5">
                    <w:rPr>
                      <w:rFonts w:ascii="Times New Roman" w:hAnsi="Times New Roman" w:cs="Times New Roman"/>
                      <w:i/>
                      <w:iCs/>
                      <w:sz w:val="24"/>
                      <w:szCs w:val="24"/>
                    </w:rPr>
                    <w:t>euro</w:t>
                  </w:r>
                  <w:r w:rsidRPr="00A143C5">
                    <w:rPr>
                      <w:rFonts w:ascii="Times New Roman" w:hAnsi="Times New Roman" w:cs="Times New Roman"/>
                      <w:sz w:val="24"/>
                      <w:szCs w:val="24"/>
                    </w:rPr>
                    <w:t> (bez PVN)</w:t>
                  </w:r>
                </w:p>
              </w:tc>
              <w:tc>
                <w:tcPr>
                  <w:tcW w:w="1950" w:type="pct"/>
                  <w:tcBorders>
                    <w:top w:val="outset" w:sz="6" w:space="0" w:color="414142"/>
                    <w:left w:val="outset" w:sz="6" w:space="0" w:color="414142"/>
                    <w:bottom w:val="single" w:sz="6" w:space="0" w:color="414142"/>
                    <w:right w:val="outset" w:sz="6" w:space="0" w:color="414142"/>
                  </w:tcBorders>
                  <w:hideMark/>
                </w:tcPr>
                <w:p w14:paraId="7465D346" w14:textId="19DDD100" w:rsidR="006A3D72" w:rsidRPr="00A143C5" w:rsidRDefault="006A3D72" w:rsidP="4CB7E02F">
                  <w:pPr>
                    <w:spacing w:after="0" w:line="240" w:lineRule="auto"/>
                    <w:jc w:val="both"/>
                    <w:rPr>
                      <w:rFonts w:ascii="Times New Roman" w:hAnsi="Times New Roman" w:cs="Times New Roman"/>
                      <w:sz w:val="24"/>
                      <w:szCs w:val="24"/>
                    </w:rPr>
                  </w:pPr>
                  <w:r w:rsidRPr="00A143C5">
                    <w:rPr>
                      <w:rFonts w:ascii="Times New Roman" w:hAnsi="Times New Roman" w:cs="Times New Roman"/>
                      <w:sz w:val="24"/>
                      <w:szCs w:val="24"/>
                    </w:rPr>
                    <w:t>434 985,00 </w:t>
                  </w:r>
                  <w:r w:rsidRPr="00A143C5">
                    <w:rPr>
                      <w:rFonts w:ascii="Times New Roman" w:hAnsi="Times New Roman" w:cs="Times New Roman"/>
                      <w:i/>
                      <w:iCs/>
                      <w:sz w:val="24"/>
                      <w:szCs w:val="24"/>
                    </w:rPr>
                    <w:t>euro</w:t>
                  </w:r>
                </w:p>
              </w:tc>
              <w:tc>
                <w:tcPr>
                  <w:tcW w:w="1250" w:type="pct"/>
                  <w:tcBorders>
                    <w:top w:val="outset" w:sz="6" w:space="0" w:color="414142"/>
                    <w:left w:val="outset" w:sz="6" w:space="0" w:color="414142"/>
                    <w:bottom w:val="single" w:sz="6" w:space="0" w:color="414142"/>
                    <w:right w:val="outset" w:sz="6" w:space="0" w:color="414142"/>
                  </w:tcBorders>
                  <w:hideMark/>
                </w:tcPr>
                <w:p w14:paraId="016728E8" w14:textId="13AA1F6C" w:rsidR="006A3D72" w:rsidRPr="00F72E46" w:rsidRDefault="006A3D72" w:rsidP="00F72E46">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 xml:space="preserve">200 000,00 </w:t>
                  </w:r>
                  <w:r w:rsidRPr="4CB7E02F">
                    <w:rPr>
                      <w:rFonts w:ascii="Times New Roman" w:hAnsi="Times New Roman" w:cs="Times New Roman"/>
                      <w:i/>
                      <w:iCs/>
                      <w:sz w:val="24"/>
                      <w:szCs w:val="24"/>
                    </w:rPr>
                    <w:t>euro</w:t>
                  </w:r>
                </w:p>
              </w:tc>
            </w:tr>
            <w:tr w:rsidR="006A3D72" w:rsidRPr="00F72E46" w14:paraId="65FC6FF5" w14:textId="77777777" w:rsidTr="00005CE3">
              <w:trPr>
                <w:trHeight w:val="240"/>
              </w:trPr>
              <w:tc>
                <w:tcPr>
                  <w:tcW w:w="1799" w:type="pct"/>
                  <w:tcBorders>
                    <w:top w:val="outset" w:sz="6" w:space="0" w:color="414142"/>
                    <w:left w:val="nil"/>
                    <w:bottom w:val="nil"/>
                    <w:right w:val="nil"/>
                  </w:tcBorders>
                  <w:hideMark/>
                </w:tcPr>
                <w:p w14:paraId="22677DD7"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w:t>
                  </w:r>
                </w:p>
              </w:tc>
              <w:tc>
                <w:tcPr>
                  <w:tcW w:w="1950" w:type="pct"/>
                  <w:tcBorders>
                    <w:top w:val="outset" w:sz="6" w:space="0" w:color="414142"/>
                    <w:left w:val="nil"/>
                    <w:bottom w:val="nil"/>
                    <w:right w:val="nil"/>
                  </w:tcBorders>
                  <w:hideMark/>
                </w:tcPr>
                <w:p w14:paraId="775369DC"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w:t>
                  </w:r>
                </w:p>
              </w:tc>
              <w:tc>
                <w:tcPr>
                  <w:tcW w:w="1250" w:type="pct"/>
                  <w:tcBorders>
                    <w:top w:val="outset" w:sz="6" w:space="0" w:color="414142"/>
                    <w:left w:val="nil"/>
                    <w:bottom w:val="nil"/>
                    <w:right w:val="nil"/>
                  </w:tcBorders>
                  <w:hideMark/>
                </w:tcPr>
                <w:p w14:paraId="5611051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w:t>
                  </w:r>
                </w:p>
              </w:tc>
            </w:tr>
          </w:tbl>
          <w:p w14:paraId="206003D7" w14:textId="77777777" w:rsidR="006A3D72" w:rsidRPr="00F72E46" w:rsidRDefault="006A3D72" w:rsidP="00F72E46">
            <w:pPr>
              <w:spacing w:after="0" w:line="240" w:lineRule="auto"/>
              <w:jc w:val="both"/>
              <w:rPr>
                <w:rFonts w:ascii="Times New Roman" w:hAnsi="Times New Roman" w:cs="Times New Roman"/>
                <w:vanish/>
                <w:sz w:val="24"/>
                <w:szCs w:val="24"/>
              </w:rPr>
            </w:pPr>
          </w:p>
          <w:tbl>
            <w:tblPr>
              <w:tblW w:w="9350" w:type="dxa"/>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3304"/>
              <w:gridCol w:w="1745"/>
              <w:gridCol w:w="1745"/>
              <w:gridCol w:w="2556"/>
            </w:tblGrid>
            <w:tr w:rsidR="006A3D72" w:rsidRPr="00F72E46" w14:paraId="38D61D06" w14:textId="77777777" w:rsidTr="4CB7E02F">
              <w:tc>
                <w:tcPr>
                  <w:tcW w:w="1767" w:type="pct"/>
                  <w:tcBorders>
                    <w:top w:val="outset" w:sz="6" w:space="0" w:color="414142"/>
                    <w:left w:val="outset" w:sz="6" w:space="0" w:color="414142"/>
                    <w:bottom w:val="outset" w:sz="6" w:space="0" w:color="414142"/>
                    <w:right w:val="outset" w:sz="6" w:space="0" w:color="414142"/>
                  </w:tcBorders>
                  <w:vAlign w:val="center"/>
                  <w:hideMark/>
                </w:tcPr>
                <w:p w14:paraId="1E800FEC" w14:textId="27A73377" w:rsidR="006A3D72" w:rsidRPr="00F72E46" w:rsidRDefault="006A3D72" w:rsidP="00232AE5">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Projekta ietvaros veicamo darbību un būtisko izmaksu veidu raksturojošs apzīmējums</w:t>
                  </w:r>
                </w:p>
              </w:tc>
              <w:tc>
                <w:tcPr>
                  <w:tcW w:w="933" w:type="pct"/>
                  <w:tcBorders>
                    <w:top w:val="outset" w:sz="6" w:space="0" w:color="414142"/>
                    <w:left w:val="outset" w:sz="6" w:space="0" w:color="414142"/>
                    <w:bottom w:val="outset" w:sz="6" w:space="0" w:color="414142"/>
                    <w:right w:val="outset" w:sz="6" w:space="0" w:color="414142"/>
                  </w:tcBorders>
                  <w:vAlign w:val="center"/>
                  <w:hideMark/>
                </w:tcPr>
                <w:p w14:paraId="31EF88C8" w14:textId="77777777" w:rsidR="006A3D72" w:rsidRPr="00F72E46" w:rsidRDefault="006A3D72" w:rsidP="00232AE5">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Izmaksu apmērs (indikatīvi)</w:t>
                  </w:r>
                </w:p>
              </w:tc>
              <w:tc>
                <w:tcPr>
                  <w:tcW w:w="933" w:type="pct"/>
                  <w:tcBorders>
                    <w:top w:val="outset" w:sz="6" w:space="0" w:color="414142"/>
                    <w:left w:val="outset" w:sz="6" w:space="0" w:color="414142"/>
                    <w:bottom w:val="outset" w:sz="6" w:space="0" w:color="414142"/>
                    <w:right w:val="outset" w:sz="6" w:space="0" w:color="414142"/>
                  </w:tcBorders>
                  <w:vAlign w:val="center"/>
                  <w:hideMark/>
                </w:tcPr>
                <w:p w14:paraId="4D5F3566" w14:textId="77777777" w:rsidR="006A3D72" w:rsidRPr="00F72E46" w:rsidRDefault="006A3D72" w:rsidP="00232AE5">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Maksimālais apmērs</w:t>
                  </w:r>
                  <w:r w:rsidRPr="00F72E46">
                    <w:rPr>
                      <w:rFonts w:ascii="Times New Roman" w:hAnsi="Times New Roman" w:cs="Times New Roman"/>
                      <w:sz w:val="24"/>
                      <w:szCs w:val="24"/>
                      <w:vertAlign w:val="superscript"/>
                    </w:rPr>
                    <w:t>7</w:t>
                  </w:r>
                </w:p>
              </w:tc>
              <w:tc>
                <w:tcPr>
                  <w:tcW w:w="1367" w:type="pct"/>
                  <w:tcBorders>
                    <w:top w:val="outset" w:sz="6" w:space="0" w:color="414142"/>
                    <w:left w:val="outset" w:sz="6" w:space="0" w:color="414142"/>
                    <w:bottom w:val="outset" w:sz="6" w:space="0" w:color="414142"/>
                    <w:right w:val="outset" w:sz="6" w:space="0" w:color="414142"/>
                  </w:tcBorders>
                  <w:vAlign w:val="center"/>
                  <w:hideMark/>
                </w:tcPr>
                <w:p w14:paraId="5890749A" w14:textId="77777777" w:rsidR="006A3D72" w:rsidRPr="00F72E46" w:rsidRDefault="006A3D72" w:rsidP="00232AE5">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Darbības iznākums</w:t>
                  </w:r>
                </w:p>
              </w:tc>
            </w:tr>
            <w:tr w:rsidR="006A3D72" w:rsidRPr="00F72E46" w14:paraId="3C233C0E" w14:textId="77777777" w:rsidTr="4CB7E02F">
              <w:tc>
                <w:tcPr>
                  <w:tcW w:w="1767" w:type="pct"/>
                  <w:tcBorders>
                    <w:top w:val="outset" w:sz="6" w:space="0" w:color="414142"/>
                    <w:left w:val="outset" w:sz="6" w:space="0" w:color="414142"/>
                    <w:bottom w:val="outset" w:sz="6" w:space="0" w:color="414142"/>
                    <w:right w:val="outset" w:sz="6" w:space="0" w:color="414142"/>
                  </w:tcBorders>
                  <w:hideMark/>
                </w:tcPr>
                <w:p w14:paraId="09244A4C" w14:textId="77777777" w:rsidR="006A3D72" w:rsidRPr="00F72E46" w:rsidRDefault="006A3D72" w:rsidP="00514534">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4.3. Projekta vadības un īstenošanas personāla izmaksas</w:t>
                  </w:r>
                </w:p>
              </w:tc>
              <w:tc>
                <w:tcPr>
                  <w:tcW w:w="933" w:type="pct"/>
                  <w:tcBorders>
                    <w:top w:val="outset" w:sz="6" w:space="0" w:color="414142"/>
                    <w:left w:val="outset" w:sz="6" w:space="0" w:color="414142"/>
                    <w:bottom w:val="outset" w:sz="6" w:space="0" w:color="414142"/>
                    <w:right w:val="outset" w:sz="6" w:space="0" w:color="414142"/>
                  </w:tcBorders>
                  <w:hideMark/>
                </w:tcPr>
                <w:p w14:paraId="5042F44A" w14:textId="460CE7C1" w:rsidR="006A3D72" w:rsidRPr="00A143C5" w:rsidRDefault="006A3D72" w:rsidP="4CB7E02F">
                  <w:pPr>
                    <w:spacing w:after="0" w:line="240" w:lineRule="auto"/>
                    <w:rPr>
                      <w:rFonts w:ascii="Times New Roman" w:hAnsi="Times New Roman" w:cs="Times New Roman"/>
                      <w:sz w:val="24"/>
                      <w:szCs w:val="24"/>
                    </w:rPr>
                  </w:pPr>
                  <w:r w:rsidRPr="00A143C5">
                    <w:rPr>
                      <w:rFonts w:ascii="Times New Roman" w:hAnsi="Times New Roman" w:cs="Times New Roman"/>
                      <w:sz w:val="24"/>
                      <w:szCs w:val="24"/>
                    </w:rPr>
                    <w:t>2 218 396 </w:t>
                  </w:r>
                  <w:r w:rsidRPr="00A143C5">
                    <w:rPr>
                      <w:rFonts w:ascii="Times New Roman" w:hAnsi="Times New Roman" w:cs="Times New Roman"/>
                      <w:i/>
                      <w:iCs/>
                      <w:sz w:val="24"/>
                      <w:szCs w:val="24"/>
                    </w:rPr>
                    <w:t>euro</w:t>
                  </w:r>
                </w:p>
              </w:tc>
              <w:tc>
                <w:tcPr>
                  <w:tcW w:w="933" w:type="pct"/>
                  <w:tcBorders>
                    <w:top w:val="outset" w:sz="6" w:space="0" w:color="414142"/>
                    <w:left w:val="outset" w:sz="6" w:space="0" w:color="414142"/>
                    <w:bottom w:val="outset" w:sz="6" w:space="0" w:color="414142"/>
                    <w:right w:val="outset" w:sz="6" w:space="0" w:color="414142"/>
                  </w:tcBorders>
                  <w:hideMark/>
                </w:tcPr>
                <w:p w14:paraId="33A29AF1" w14:textId="0564BE77" w:rsidR="006A3D72" w:rsidRPr="00A143C5" w:rsidRDefault="006A3D72" w:rsidP="4CB7E02F">
                  <w:pPr>
                    <w:spacing w:after="0" w:line="240" w:lineRule="auto"/>
                    <w:rPr>
                      <w:rFonts w:ascii="Times New Roman" w:hAnsi="Times New Roman" w:cs="Times New Roman"/>
                      <w:sz w:val="24"/>
                      <w:szCs w:val="24"/>
                    </w:rPr>
                  </w:pPr>
                  <w:r w:rsidRPr="00A143C5">
                    <w:rPr>
                      <w:rFonts w:ascii="Times New Roman" w:hAnsi="Times New Roman" w:cs="Times New Roman"/>
                      <w:sz w:val="24"/>
                      <w:szCs w:val="24"/>
                    </w:rPr>
                    <w:t>2 218 396 </w:t>
                  </w:r>
                  <w:r w:rsidRPr="00A143C5">
                    <w:rPr>
                      <w:rFonts w:ascii="Times New Roman" w:hAnsi="Times New Roman" w:cs="Times New Roman"/>
                      <w:i/>
                      <w:iCs/>
                      <w:sz w:val="24"/>
                      <w:szCs w:val="24"/>
                    </w:rPr>
                    <w:t>euro</w:t>
                  </w:r>
                </w:p>
              </w:tc>
              <w:tc>
                <w:tcPr>
                  <w:tcW w:w="1366" w:type="pct"/>
                  <w:tcBorders>
                    <w:top w:val="outset" w:sz="6" w:space="0" w:color="414142"/>
                    <w:left w:val="outset" w:sz="6" w:space="0" w:color="414142"/>
                    <w:bottom w:val="outset" w:sz="6" w:space="0" w:color="414142"/>
                    <w:right w:val="outset" w:sz="6" w:space="0" w:color="414142"/>
                  </w:tcBorders>
                  <w:hideMark/>
                </w:tcPr>
                <w:p w14:paraId="001EE426" w14:textId="4CEB552A" w:rsidR="006A3D72" w:rsidRPr="00F72E46" w:rsidRDefault="006A3D72" w:rsidP="00514534">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Nodrošināts projekta vadības un īstenošanas personāls. Piesaistītais personāls veiks IKT risinājumu izstrādi un pilnveidošanu, pakalpojumu attīstīšanu un uzlabošanu, tostarp jaunu funkcionalitāšu izstrādi un esošo procesu optimizēšanu. Iekšējie programmētāji, strādājot ciešā saiknē ar slimnīcas personālu, ir labāk informēti par konkrētām vajadzībām un procesu sarežģītību, tādējādi ļaujot precīzāk un efektīvāk izveidot sistēmas funkcionalitāti, kas precīzi atbilst lietotāju prasībām. Vienlaikus slimnīcas apliecina, ka ir ieviesta procedūra izstrādes nodevumu pieņemšanas procesam</w:t>
                  </w:r>
                </w:p>
              </w:tc>
            </w:tr>
            <w:tr w:rsidR="006A3D72" w:rsidRPr="00F72E46" w14:paraId="0EFCAF22" w14:textId="77777777" w:rsidTr="4CB7E02F">
              <w:tc>
                <w:tcPr>
                  <w:tcW w:w="1767" w:type="pct"/>
                  <w:tcBorders>
                    <w:top w:val="outset" w:sz="6" w:space="0" w:color="414142"/>
                    <w:left w:val="outset" w:sz="6" w:space="0" w:color="414142"/>
                    <w:bottom w:val="outset" w:sz="6" w:space="0" w:color="414142"/>
                    <w:right w:val="outset" w:sz="6" w:space="0" w:color="414142"/>
                  </w:tcBorders>
                  <w:hideMark/>
                </w:tcPr>
                <w:p w14:paraId="2EC3AC0C" w14:textId="77777777" w:rsidR="006A3D72" w:rsidRPr="00F72E46" w:rsidRDefault="006A3D72" w:rsidP="00514534">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4.4. Koplietošanas platformas un RAKUS, PSKUS, BSKUS IS pilnveidojumu projektēšana, izstrāde, testēšana, ieviešana, apmācība un izmitināšana</w:t>
                  </w:r>
                </w:p>
              </w:tc>
              <w:tc>
                <w:tcPr>
                  <w:tcW w:w="933" w:type="pct"/>
                  <w:tcBorders>
                    <w:top w:val="outset" w:sz="6" w:space="0" w:color="414142"/>
                    <w:left w:val="outset" w:sz="6" w:space="0" w:color="414142"/>
                    <w:bottom w:val="outset" w:sz="6" w:space="0" w:color="414142"/>
                    <w:right w:val="outset" w:sz="6" w:space="0" w:color="414142"/>
                  </w:tcBorders>
                  <w:hideMark/>
                </w:tcPr>
                <w:p w14:paraId="23AC0ABF" w14:textId="29333570" w:rsidR="006A3D72" w:rsidRPr="00A143C5" w:rsidRDefault="006A3D72" w:rsidP="4CB7E02F">
                  <w:pPr>
                    <w:spacing w:after="0" w:line="240" w:lineRule="auto"/>
                    <w:rPr>
                      <w:rFonts w:ascii="Times New Roman" w:hAnsi="Times New Roman" w:cs="Times New Roman"/>
                    </w:rPr>
                  </w:pPr>
                  <w:r w:rsidRPr="00A143C5">
                    <w:rPr>
                      <w:rFonts w:ascii="Times New Roman" w:hAnsi="Times New Roman" w:cs="Times New Roman"/>
                    </w:rPr>
                    <w:t xml:space="preserve">2 071 </w:t>
                  </w:r>
                  <w:r w:rsidRPr="05DC6C4A">
                    <w:rPr>
                      <w:rFonts w:ascii="Times New Roman" w:hAnsi="Times New Roman" w:cs="Times New Roman"/>
                    </w:rPr>
                    <w:t>353,31</w:t>
                  </w:r>
                  <w:r w:rsidRPr="00A143C5">
                    <w:rPr>
                      <w:rFonts w:ascii="Times New Roman" w:hAnsi="Times New Roman" w:cs="Times New Roman"/>
                    </w:rPr>
                    <w:t xml:space="preserve"> </w:t>
                  </w:r>
                  <w:r w:rsidRPr="00A143C5">
                    <w:rPr>
                      <w:rFonts w:ascii="Times New Roman" w:hAnsi="Times New Roman" w:cs="Times New Roman"/>
                      <w:i/>
                      <w:iCs/>
                    </w:rPr>
                    <w:t>euro</w:t>
                  </w:r>
                </w:p>
              </w:tc>
              <w:tc>
                <w:tcPr>
                  <w:tcW w:w="933" w:type="pct"/>
                  <w:tcBorders>
                    <w:top w:val="outset" w:sz="6" w:space="0" w:color="414142"/>
                    <w:left w:val="outset" w:sz="6" w:space="0" w:color="414142"/>
                    <w:bottom w:val="outset" w:sz="6" w:space="0" w:color="414142"/>
                    <w:right w:val="outset" w:sz="6" w:space="0" w:color="414142"/>
                  </w:tcBorders>
                  <w:hideMark/>
                </w:tcPr>
                <w:p w14:paraId="1A2518AE" w14:textId="09DF8AE7" w:rsidR="006A3D72" w:rsidRPr="00A143C5" w:rsidRDefault="006A3D72" w:rsidP="4CB7E02F">
                  <w:pPr>
                    <w:spacing w:after="0" w:line="240" w:lineRule="auto"/>
                    <w:rPr>
                      <w:rFonts w:ascii="Times New Roman" w:hAnsi="Times New Roman" w:cs="Times New Roman"/>
                    </w:rPr>
                  </w:pPr>
                  <w:r w:rsidRPr="00A143C5">
                    <w:rPr>
                      <w:rFonts w:ascii="Times New Roman" w:hAnsi="Times New Roman" w:cs="Times New Roman"/>
                    </w:rPr>
                    <w:t>2 071 35</w:t>
                  </w:r>
                  <w:r w:rsidRPr="05DC6C4A">
                    <w:rPr>
                      <w:rFonts w:ascii="Times New Roman" w:hAnsi="Times New Roman" w:cs="Times New Roman"/>
                    </w:rPr>
                    <w:t>3,31</w:t>
                  </w:r>
                  <w:r w:rsidRPr="00A143C5">
                    <w:rPr>
                      <w:rFonts w:ascii="Times New Roman" w:hAnsi="Times New Roman" w:cs="Times New Roman"/>
                    </w:rPr>
                    <w:t xml:space="preserve"> </w:t>
                  </w:r>
                  <w:r w:rsidRPr="00A143C5">
                    <w:rPr>
                      <w:rFonts w:ascii="Times New Roman" w:hAnsi="Times New Roman" w:cs="Times New Roman"/>
                      <w:i/>
                      <w:iCs/>
                    </w:rPr>
                    <w:t>euro</w:t>
                  </w:r>
                </w:p>
              </w:tc>
              <w:tc>
                <w:tcPr>
                  <w:tcW w:w="1366" w:type="pct"/>
                  <w:tcBorders>
                    <w:top w:val="outset" w:sz="6" w:space="0" w:color="414142"/>
                    <w:left w:val="outset" w:sz="6" w:space="0" w:color="414142"/>
                    <w:bottom w:val="outset" w:sz="6" w:space="0" w:color="414142"/>
                    <w:right w:val="outset" w:sz="6" w:space="0" w:color="414142"/>
                  </w:tcBorders>
                  <w:hideMark/>
                </w:tcPr>
                <w:p w14:paraId="1C309624" w14:textId="77777777" w:rsidR="006A3D72" w:rsidRPr="00F72E46" w:rsidRDefault="006A3D72" w:rsidP="00514534">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Izstrādāta onkoloģijas pacientu datu koplietošanas platforma, izstrādāti pielāgojumi vai jauni risinājumi KUS onkoloģijas pacientu informācijas apkopošanai un apmaiņai ar koplietošanas platformu</w:t>
                  </w:r>
                </w:p>
              </w:tc>
            </w:tr>
          </w:tbl>
          <w:p w14:paraId="0ED76CD8"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5. Projekta ieguldījums reformu un investīciju mērķu rādītāju sasniegšanā</w:t>
            </w:r>
          </w:p>
          <w:p w14:paraId="79774480" w14:textId="77777777" w:rsidR="006A3D72" w:rsidRPr="00F72E46" w:rsidRDefault="006A3D72" w:rsidP="00F72E46">
            <w:pPr>
              <w:spacing w:after="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5.1. Modernizēto pārvaldes procesu IKT risinājumi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635"/>
              <w:gridCol w:w="1195"/>
              <w:gridCol w:w="1847"/>
              <w:gridCol w:w="768"/>
              <w:gridCol w:w="1446"/>
              <w:gridCol w:w="1188"/>
              <w:gridCol w:w="2277"/>
            </w:tblGrid>
            <w:tr w:rsidR="006A3D72" w:rsidRPr="00F72E46" w14:paraId="5CBF805E" w14:textId="77777777" w:rsidTr="4CB7E02F">
              <w:tc>
                <w:tcPr>
                  <w:tcW w:w="345" w:type="pct"/>
                  <w:vAlign w:val="center"/>
                  <w:hideMark/>
                </w:tcPr>
                <w:p w14:paraId="6F8BDEE1"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Skaits</w:t>
                  </w:r>
                </w:p>
              </w:tc>
              <w:tc>
                <w:tcPr>
                  <w:tcW w:w="649" w:type="pct"/>
                  <w:vAlign w:val="center"/>
                  <w:hideMark/>
                </w:tcPr>
                <w:p w14:paraId="63F24BA8" w14:textId="77777777"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IKT risinājuma nosaukums</w:t>
                  </w:r>
                </w:p>
              </w:tc>
              <w:tc>
                <w:tcPr>
                  <w:tcW w:w="1003" w:type="pct"/>
                  <w:vAlign w:val="center"/>
                  <w:hideMark/>
                </w:tcPr>
                <w:p w14:paraId="614D57DA" w14:textId="77777777"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Īss apraksts</w:t>
                  </w:r>
                  <w:r w:rsidRPr="00F72E46">
                    <w:rPr>
                      <w:rFonts w:ascii="Times New Roman" w:hAnsi="Times New Roman" w:cs="Times New Roman"/>
                      <w:sz w:val="24"/>
                      <w:szCs w:val="24"/>
                      <w:vertAlign w:val="superscript"/>
                    </w:rPr>
                    <w:t>8</w:t>
                  </w:r>
                </w:p>
              </w:tc>
              <w:tc>
                <w:tcPr>
                  <w:tcW w:w="381" w:type="pct"/>
                  <w:vAlign w:val="center"/>
                  <w:hideMark/>
                </w:tcPr>
                <w:p w14:paraId="6F302EA5" w14:textId="77777777"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 xml:space="preserve">Valsts </w:t>
                  </w:r>
                  <w:r w:rsidRPr="4869112C">
                    <w:rPr>
                      <w:rFonts w:ascii="Times New Roman" w:hAnsi="Times New Roman" w:cs="Times New Roman"/>
                      <w:sz w:val="24"/>
                      <w:szCs w:val="24"/>
                    </w:rPr>
                    <w:t>mākonī</w:t>
                  </w:r>
                </w:p>
                <w:p w14:paraId="267A51BA" w14:textId="77777777"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(jā/nē)</w:t>
                  </w:r>
                </w:p>
              </w:tc>
              <w:tc>
                <w:tcPr>
                  <w:tcW w:w="783" w:type="pct"/>
                  <w:vAlign w:val="center"/>
                  <w:hideMark/>
                </w:tcPr>
                <w:p w14:paraId="7F3403A0" w14:textId="2BF89269" w:rsidR="006A3D72" w:rsidRPr="00F72E46" w:rsidRDefault="006A3D72" w:rsidP="00514534">
                  <w:pPr>
                    <w:spacing w:after="0" w:line="240" w:lineRule="auto"/>
                    <w:jc w:val="center"/>
                    <w:rPr>
                      <w:rFonts w:ascii="Times New Roman" w:hAnsi="Times New Roman" w:cs="Times New Roman"/>
                      <w:sz w:val="24"/>
                      <w:szCs w:val="24"/>
                    </w:rPr>
                  </w:pPr>
                  <w:r w:rsidRPr="4CB7E02F">
                    <w:rPr>
                      <w:rFonts w:ascii="Times New Roman" w:hAnsi="Times New Roman" w:cs="Times New Roman"/>
                      <w:sz w:val="24"/>
                      <w:szCs w:val="24"/>
                    </w:rPr>
                    <w:t>Termiņš IKT risinājumu</w:t>
                  </w:r>
                </w:p>
                <w:p w14:paraId="74D1B65E" w14:textId="7A159D48" w:rsidR="006A3D72" w:rsidRPr="00F72E46" w:rsidRDefault="006A3D72" w:rsidP="00514534">
                  <w:pPr>
                    <w:spacing w:after="0" w:line="240" w:lineRule="auto"/>
                    <w:jc w:val="center"/>
                    <w:rPr>
                      <w:rFonts w:ascii="Times New Roman" w:hAnsi="Times New Roman" w:cs="Times New Roman"/>
                      <w:sz w:val="24"/>
                      <w:szCs w:val="24"/>
                    </w:rPr>
                  </w:pPr>
                  <w:r w:rsidRPr="4CB7E02F">
                    <w:rPr>
                      <w:rFonts w:ascii="Times New Roman" w:hAnsi="Times New Roman" w:cs="Times New Roman"/>
                      <w:sz w:val="24"/>
                      <w:szCs w:val="24"/>
                    </w:rPr>
                    <w:t>attīstības saskaņošanai</w:t>
                  </w:r>
                  <w:r w:rsidRPr="4CB7E02F">
                    <w:rPr>
                      <w:rFonts w:ascii="Times New Roman" w:hAnsi="Times New Roman" w:cs="Times New Roman"/>
                      <w:sz w:val="24"/>
                      <w:szCs w:val="24"/>
                      <w:vertAlign w:val="superscript"/>
                    </w:rPr>
                    <w:t>9</w:t>
                  </w:r>
                </w:p>
                <w:p w14:paraId="3D9E01B2" w14:textId="097BFE26"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(gads, ceturksnis)</w:t>
                  </w:r>
                </w:p>
              </w:tc>
              <w:tc>
                <w:tcPr>
                  <w:tcW w:w="612" w:type="pct"/>
                  <w:tcBorders>
                    <w:right w:val="single" w:sz="4" w:space="0" w:color="auto"/>
                  </w:tcBorders>
                  <w:vAlign w:val="center"/>
                  <w:hideMark/>
                </w:tcPr>
                <w:p w14:paraId="71B3DB2F" w14:textId="688A4CE0" w:rsidR="006A3D72" w:rsidRPr="00F72E46" w:rsidRDefault="006A3D72" w:rsidP="00514534">
                  <w:pPr>
                    <w:spacing w:after="0" w:line="240" w:lineRule="auto"/>
                    <w:jc w:val="center"/>
                    <w:rPr>
                      <w:rFonts w:ascii="Times New Roman" w:hAnsi="Times New Roman" w:cs="Times New Roman"/>
                      <w:sz w:val="24"/>
                      <w:szCs w:val="24"/>
                    </w:rPr>
                  </w:pPr>
                  <w:r w:rsidRPr="00F72E46">
                    <w:rPr>
                      <w:rFonts w:ascii="Times New Roman" w:hAnsi="Times New Roman" w:cs="Times New Roman"/>
                      <w:sz w:val="24"/>
                      <w:szCs w:val="24"/>
                    </w:rPr>
                    <w:t>Termiņš ieviešanai produkcijā (gads, ceturksnis)</w:t>
                  </w:r>
                </w:p>
              </w:tc>
              <w:tc>
                <w:tcPr>
                  <w:tcW w:w="1228" w:type="pct"/>
                  <w:tcBorders>
                    <w:top w:val="single" w:sz="4" w:space="0" w:color="auto"/>
                    <w:left w:val="single" w:sz="4" w:space="0" w:color="auto"/>
                    <w:bottom w:val="single" w:sz="4" w:space="0" w:color="auto"/>
                    <w:right w:val="single" w:sz="4" w:space="0" w:color="auto"/>
                  </w:tcBorders>
                  <w:vAlign w:val="center"/>
                  <w:hideMark/>
                </w:tcPr>
                <w:p w14:paraId="451A9166" w14:textId="2A3FDCE0" w:rsidR="006A3D72" w:rsidRPr="00F72E46" w:rsidRDefault="006A3D72" w:rsidP="00514534">
                  <w:pPr>
                    <w:tabs>
                      <w:tab w:val="left" w:pos="2242"/>
                    </w:tabs>
                    <w:spacing w:after="0" w:line="240" w:lineRule="auto"/>
                    <w:ind w:firstLine="2"/>
                    <w:jc w:val="center"/>
                    <w:rPr>
                      <w:rFonts w:ascii="Times New Roman" w:hAnsi="Times New Roman" w:cs="Times New Roman"/>
                      <w:sz w:val="24"/>
                      <w:szCs w:val="24"/>
                    </w:rPr>
                  </w:pPr>
                  <w:r w:rsidRPr="00F72E46">
                    <w:rPr>
                      <w:rFonts w:ascii="Times New Roman" w:hAnsi="Times New Roman" w:cs="Times New Roman"/>
                      <w:sz w:val="24"/>
                      <w:szCs w:val="24"/>
                    </w:rPr>
                    <w:t>Risinājuma lietotāji</w:t>
                  </w:r>
                </w:p>
                <w:p w14:paraId="1BEC8BE5" w14:textId="1CB41F1E" w:rsidR="006A3D72" w:rsidRPr="00F72E46" w:rsidRDefault="006A3D72" w:rsidP="00514534">
                  <w:pPr>
                    <w:tabs>
                      <w:tab w:val="left" w:pos="2242"/>
                    </w:tabs>
                    <w:spacing w:after="0" w:line="240" w:lineRule="auto"/>
                    <w:ind w:firstLine="2"/>
                    <w:jc w:val="center"/>
                    <w:rPr>
                      <w:rFonts w:ascii="Times New Roman" w:hAnsi="Times New Roman" w:cs="Times New Roman"/>
                      <w:sz w:val="24"/>
                      <w:szCs w:val="24"/>
                    </w:rPr>
                  </w:pPr>
                  <w:r w:rsidRPr="00F72E46">
                    <w:rPr>
                      <w:rFonts w:ascii="Times New Roman" w:hAnsi="Times New Roman" w:cs="Times New Roman"/>
                      <w:sz w:val="24"/>
                      <w:szCs w:val="24"/>
                    </w:rPr>
                    <w:t>(skaits)</w:t>
                  </w:r>
                </w:p>
              </w:tc>
            </w:tr>
            <w:tr w:rsidR="006A3D72" w:rsidRPr="00F72E46" w14:paraId="5EE050B4" w14:textId="77777777" w:rsidTr="4CB7E02F">
              <w:tc>
                <w:tcPr>
                  <w:tcW w:w="345" w:type="pct"/>
                  <w:hideMark/>
                </w:tcPr>
                <w:p w14:paraId="39AC8E7C"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w:t>
                  </w:r>
                </w:p>
              </w:tc>
              <w:tc>
                <w:tcPr>
                  <w:tcW w:w="649" w:type="pct"/>
                  <w:hideMark/>
                </w:tcPr>
                <w:p w14:paraId="2BE2F9F3"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KUS onkoloģijas pacienta datu apmaiņas platforma</w:t>
                  </w:r>
                </w:p>
              </w:tc>
              <w:tc>
                <w:tcPr>
                  <w:tcW w:w="1003" w:type="pct"/>
                  <w:hideMark/>
                </w:tcPr>
                <w:p w14:paraId="3D9B9D05" w14:textId="6B7FDDD9"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Risinājuma izstrādes gaitā tiks radīta onkoloģijas pacientu datu koplietošanas platforma.</w:t>
                  </w:r>
                </w:p>
                <w:p w14:paraId="15E39612" w14:textId="3D902D58"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Izstrādājamā platforma nodrošinās optimāli koordinētu digitālu onkoloģijas pacientu datu apmaiņu KUS ietvaros</w:t>
                  </w:r>
                </w:p>
                <w:p w14:paraId="5700EE6E" w14:textId="6CC08291" w:rsidR="006A3D72" w:rsidRPr="00F72E46" w:rsidRDefault="006A3D72" w:rsidP="00F72E46">
                  <w:pPr>
                    <w:spacing w:after="0" w:line="240" w:lineRule="auto"/>
                    <w:jc w:val="both"/>
                    <w:rPr>
                      <w:rFonts w:ascii="Times New Roman" w:hAnsi="Times New Roman" w:cs="Times New Roman"/>
                      <w:sz w:val="24"/>
                      <w:szCs w:val="24"/>
                    </w:rPr>
                  </w:pPr>
                </w:p>
              </w:tc>
              <w:tc>
                <w:tcPr>
                  <w:tcW w:w="381" w:type="pct"/>
                  <w:hideMark/>
                </w:tcPr>
                <w:p w14:paraId="59C7CD26"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Jā</w:t>
                  </w:r>
                </w:p>
              </w:tc>
              <w:tc>
                <w:tcPr>
                  <w:tcW w:w="783" w:type="pct"/>
                  <w:hideMark/>
                </w:tcPr>
                <w:p w14:paraId="1A4BFFEB" w14:textId="1937A741" w:rsidR="006A3D72" w:rsidRPr="00A143C5" w:rsidRDefault="006A3D72" w:rsidP="4CB7E02F">
                  <w:pPr>
                    <w:spacing w:after="0" w:line="240" w:lineRule="auto"/>
                    <w:jc w:val="both"/>
                    <w:rPr>
                      <w:rFonts w:ascii="Times New Roman" w:eastAsiaTheme="minorEastAsia" w:hAnsi="Times New Roman" w:cs="Times New Roman"/>
                      <w:sz w:val="24"/>
                      <w:szCs w:val="24"/>
                    </w:rPr>
                  </w:pPr>
                  <w:r w:rsidRPr="00A143C5">
                    <w:rPr>
                      <w:rFonts w:eastAsiaTheme="minorEastAsia"/>
                      <w:sz w:val="24"/>
                      <w:szCs w:val="24"/>
                    </w:rPr>
                    <w:t xml:space="preserve"> </w:t>
                  </w:r>
                  <w:r w:rsidRPr="00A143C5">
                    <w:rPr>
                      <w:rFonts w:ascii="Times New Roman" w:eastAsiaTheme="minorEastAsia" w:hAnsi="Times New Roman" w:cs="Times New Roman"/>
                      <w:sz w:val="24"/>
                      <w:szCs w:val="24"/>
                    </w:rPr>
                    <w:t>2023. g. II cet.</w:t>
                  </w:r>
                </w:p>
                <w:p w14:paraId="611606D1" w14:textId="6979032B" w:rsidR="006A3D72" w:rsidRPr="00A143C5" w:rsidRDefault="006A3D72" w:rsidP="4CB7E02F">
                  <w:pPr>
                    <w:spacing w:after="0" w:line="240" w:lineRule="auto"/>
                    <w:jc w:val="both"/>
                    <w:rPr>
                      <w:rFonts w:ascii="Times New Roman" w:eastAsiaTheme="minorEastAsia" w:hAnsi="Times New Roman" w:cs="Times New Roman"/>
                      <w:sz w:val="24"/>
                      <w:szCs w:val="24"/>
                    </w:rPr>
                  </w:pPr>
                  <w:r w:rsidRPr="00A143C5">
                    <w:rPr>
                      <w:rFonts w:ascii="Times New Roman" w:eastAsiaTheme="minorEastAsia" w:hAnsi="Times New Roman" w:cs="Times New Roman"/>
                      <w:sz w:val="24"/>
                      <w:szCs w:val="24"/>
                    </w:rPr>
                    <w:t>IKT aktivitāšu aprakstu izmaiņu pieprasījumi saskaņo</w:t>
                  </w:r>
                  <w:r w:rsidRPr="3AE49525">
                    <w:rPr>
                      <w:rFonts w:ascii="Times New Roman" w:eastAsiaTheme="minorEastAsia" w:hAnsi="Times New Roman" w:cs="Times New Roman"/>
                      <w:sz w:val="24"/>
                      <w:szCs w:val="24"/>
                    </w:rPr>
                    <w:t>šanas procesā</w:t>
                  </w:r>
                </w:p>
              </w:tc>
              <w:tc>
                <w:tcPr>
                  <w:tcW w:w="612" w:type="pct"/>
                  <w:tcBorders>
                    <w:right w:val="single" w:sz="4" w:space="0" w:color="auto"/>
                  </w:tcBorders>
                  <w:hideMark/>
                </w:tcPr>
                <w:p w14:paraId="25105BDD" w14:textId="72EF8C55"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31.05.2026.</w:t>
                  </w:r>
                </w:p>
              </w:tc>
              <w:tc>
                <w:tcPr>
                  <w:tcW w:w="1228" w:type="pct"/>
                  <w:tcBorders>
                    <w:top w:val="single" w:sz="4" w:space="0" w:color="auto"/>
                    <w:left w:val="single" w:sz="4" w:space="0" w:color="auto"/>
                    <w:bottom w:val="single" w:sz="4" w:space="0" w:color="auto"/>
                    <w:right w:val="single" w:sz="4" w:space="0" w:color="auto"/>
                  </w:tcBorders>
                  <w:hideMark/>
                </w:tcPr>
                <w:p w14:paraId="7FA1024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360</w:t>
                  </w:r>
                </w:p>
              </w:tc>
            </w:tr>
            <w:tr w:rsidR="006A3D72" w:rsidRPr="00F72E46" w14:paraId="3B5AF127" w14:textId="77777777" w:rsidTr="4CB7E02F">
              <w:tc>
                <w:tcPr>
                  <w:tcW w:w="345" w:type="pct"/>
                  <w:hideMark/>
                </w:tcPr>
                <w:p w14:paraId="5E84E22E"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2</w:t>
                  </w:r>
                </w:p>
              </w:tc>
              <w:tc>
                <w:tcPr>
                  <w:tcW w:w="649" w:type="pct"/>
                  <w:hideMark/>
                </w:tcPr>
                <w:p w14:paraId="2AE5E1EB"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RAKUS IS pielāgojumi un/vai jaunu IS izstrāde</w:t>
                  </w:r>
                </w:p>
              </w:tc>
              <w:tc>
                <w:tcPr>
                  <w:tcW w:w="1003" w:type="pct"/>
                  <w:hideMark/>
                </w:tcPr>
                <w:p w14:paraId="5018BABA"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Tiks pielāgotas RAKUS esošās un/vai izstrādātas jaunas IS, lai nodrošinātu:</w:t>
                  </w:r>
                </w:p>
                <w:p w14:paraId="5FC060EA" w14:textId="2E495CEB"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radīšanu un uzkrāšanu atbilstoši savstarpēji saskaņotam datu modelim;</w:t>
                  </w:r>
                </w:p>
                <w:p w14:paraId="7252C7B2"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nodošanu uz KUS onkoloģijas pacientu platformu;</w:t>
                  </w:r>
                </w:p>
                <w:p w14:paraId="6CC3FDEF" w14:textId="1C6BF163"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platformā uzkrāto datu attēlošanu RAKUS lietotājiem</w:t>
                  </w:r>
                </w:p>
              </w:tc>
              <w:tc>
                <w:tcPr>
                  <w:tcW w:w="381" w:type="pct"/>
                  <w:hideMark/>
                </w:tcPr>
                <w:p w14:paraId="35F1A6D9" w14:textId="6AE781A0" w:rsidR="006A3D72" w:rsidRPr="005F774A" w:rsidRDefault="006A3D72" w:rsidP="00F72E46">
                  <w:pPr>
                    <w:spacing w:after="0" w:line="240" w:lineRule="auto"/>
                    <w:jc w:val="both"/>
                    <w:rPr>
                      <w:rFonts w:ascii="Times New Roman" w:hAnsi="Times New Roman" w:cs="Times New Roman"/>
                      <w:sz w:val="24"/>
                      <w:szCs w:val="24"/>
                    </w:rPr>
                  </w:pPr>
                  <w:r w:rsidRPr="05DC6C4A">
                    <w:rPr>
                      <w:rFonts w:ascii="Times New Roman" w:hAnsi="Times New Roman" w:cs="Times New Roman"/>
                      <w:sz w:val="24"/>
                      <w:szCs w:val="24"/>
                    </w:rPr>
                    <w:t>Jā</w:t>
                  </w:r>
                </w:p>
              </w:tc>
              <w:tc>
                <w:tcPr>
                  <w:tcW w:w="783" w:type="pct"/>
                  <w:hideMark/>
                </w:tcPr>
                <w:p w14:paraId="44068F86" w14:textId="0BD263F5" w:rsidR="006A3D72" w:rsidRPr="00A143C5" w:rsidRDefault="006A3D72" w:rsidP="4CB7E02F">
                  <w:pPr>
                    <w:spacing w:after="0" w:line="240" w:lineRule="auto"/>
                    <w:jc w:val="both"/>
                    <w:rPr>
                      <w:rFonts w:ascii="Times New Roman" w:eastAsiaTheme="minorEastAsia" w:hAnsi="Times New Roman" w:cs="Times New Roman"/>
                      <w:sz w:val="24"/>
                      <w:szCs w:val="24"/>
                    </w:rPr>
                  </w:pPr>
                  <w:r w:rsidRPr="00A143C5">
                    <w:rPr>
                      <w:rFonts w:ascii="Times New Roman" w:eastAsiaTheme="minorEastAsia" w:hAnsi="Times New Roman" w:cs="Times New Roman"/>
                      <w:sz w:val="24"/>
                      <w:szCs w:val="24"/>
                    </w:rPr>
                    <w:t>2023. g. II cet.</w:t>
                  </w:r>
                </w:p>
                <w:p w14:paraId="129A9166" w14:textId="7A7F9F29" w:rsidR="006A3D72" w:rsidRPr="00A143C5" w:rsidRDefault="006A3D72" w:rsidP="00005CE3">
                  <w:pPr>
                    <w:spacing w:after="0" w:line="240" w:lineRule="auto"/>
                    <w:rPr>
                      <w:rFonts w:ascii="Times New Roman" w:eastAsiaTheme="minorEastAsia" w:hAnsi="Times New Roman" w:cs="Times New Roman"/>
                      <w:sz w:val="24"/>
                      <w:szCs w:val="24"/>
                    </w:rPr>
                  </w:pPr>
                  <w:r w:rsidRPr="00A143C5">
                    <w:rPr>
                      <w:rFonts w:ascii="Times New Roman" w:eastAsiaTheme="minorEastAsia" w:hAnsi="Times New Roman" w:cs="Times New Roman"/>
                      <w:sz w:val="24"/>
                      <w:szCs w:val="24"/>
                    </w:rPr>
                    <w:t>IKT aktivitāšu aprakstu izmaiņu pieprasījumi saskaņoti 2025.</w:t>
                  </w:r>
                  <w:r w:rsidR="00034161">
                    <w:rPr>
                      <w:rFonts w:ascii="Times New Roman" w:eastAsiaTheme="minorEastAsia" w:hAnsi="Times New Roman" w:cs="Times New Roman"/>
                      <w:sz w:val="24"/>
                      <w:szCs w:val="24"/>
                    </w:rPr>
                    <w:t xml:space="preserve"> </w:t>
                  </w:r>
                  <w:r w:rsidRPr="00A143C5">
                    <w:rPr>
                      <w:rFonts w:ascii="Times New Roman" w:eastAsiaTheme="minorEastAsia" w:hAnsi="Times New Roman" w:cs="Times New Roman"/>
                      <w:sz w:val="24"/>
                      <w:szCs w:val="24"/>
                    </w:rPr>
                    <w:t>gada II</w:t>
                  </w:r>
                  <w:r w:rsidR="00034161">
                    <w:rPr>
                      <w:rFonts w:ascii="Times New Roman" w:eastAsiaTheme="minorEastAsia" w:hAnsi="Times New Roman" w:cs="Times New Roman"/>
                      <w:sz w:val="24"/>
                      <w:szCs w:val="24"/>
                    </w:rPr>
                    <w:t> </w:t>
                  </w:r>
                  <w:r w:rsidRPr="00A143C5">
                    <w:rPr>
                      <w:rFonts w:ascii="Times New Roman" w:eastAsiaTheme="minorEastAsia" w:hAnsi="Times New Roman" w:cs="Times New Roman"/>
                      <w:sz w:val="24"/>
                      <w:szCs w:val="24"/>
                    </w:rPr>
                    <w:t>cet.</w:t>
                  </w:r>
                </w:p>
              </w:tc>
              <w:tc>
                <w:tcPr>
                  <w:tcW w:w="612" w:type="pct"/>
                  <w:tcBorders>
                    <w:right w:val="single" w:sz="4" w:space="0" w:color="auto"/>
                  </w:tcBorders>
                  <w:hideMark/>
                </w:tcPr>
                <w:p w14:paraId="4EC8C33B" w14:textId="58DC4532"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31.05.2026.</w:t>
                  </w:r>
                </w:p>
              </w:tc>
              <w:tc>
                <w:tcPr>
                  <w:tcW w:w="1228" w:type="pct"/>
                  <w:tcBorders>
                    <w:top w:val="single" w:sz="4" w:space="0" w:color="auto"/>
                    <w:left w:val="single" w:sz="4" w:space="0" w:color="auto"/>
                    <w:bottom w:val="single" w:sz="4" w:space="0" w:color="auto"/>
                    <w:right w:val="single" w:sz="4" w:space="0" w:color="auto"/>
                  </w:tcBorders>
                  <w:hideMark/>
                </w:tcPr>
                <w:p w14:paraId="06F68BB9"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160</w:t>
                  </w:r>
                </w:p>
              </w:tc>
            </w:tr>
            <w:tr w:rsidR="006A3D72" w:rsidRPr="00F72E46" w14:paraId="393E60CE" w14:textId="77777777" w:rsidTr="4CB7E02F">
              <w:tc>
                <w:tcPr>
                  <w:tcW w:w="345" w:type="pct"/>
                  <w:hideMark/>
                </w:tcPr>
                <w:p w14:paraId="2AE240C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3</w:t>
                  </w:r>
                </w:p>
              </w:tc>
              <w:tc>
                <w:tcPr>
                  <w:tcW w:w="649" w:type="pct"/>
                  <w:hideMark/>
                </w:tcPr>
                <w:p w14:paraId="44DCFE4B"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PSKUS IS pielāgojumi un/vai jaunu IS izstrāde</w:t>
                  </w:r>
                </w:p>
              </w:tc>
              <w:tc>
                <w:tcPr>
                  <w:tcW w:w="1003" w:type="pct"/>
                  <w:hideMark/>
                </w:tcPr>
                <w:p w14:paraId="6D146CD1"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Tiks pielāgotas PSKUS esošās un/vai izstrādātas jaunas IS, lai nodrošinātu:</w:t>
                  </w:r>
                </w:p>
                <w:p w14:paraId="439F8B81"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radīšanu un uzkrāšanu atbilstoši savstarpēji saskaņotam datu modelim;</w:t>
                  </w:r>
                </w:p>
                <w:p w14:paraId="5AB7BE2F"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nodošanu uz KUS onkoloģijas pacientu platformu;</w:t>
                  </w:r>
                </w:p>
                <w:p w14:paraId="5608079C" w14:textId="74181A8F"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platformā uzkrāto datu attēlošanu PSKUS lietotājiem</w:t>
                  </w:r>
                </w:p>
              </w:tc>
              <w:tc>
                <w:tcPr>
                  <w:tcW w:w="381" w:type="pct"/>
                  <w:hideMark/>
                </w:tcPr>
                <w:p w14:paraId="0D18D327" w14:textId="77777777" w:rsidR="006A3D72" w:rsidRPr="005F774A" w:rsidRDefault="006A3D72" w:rsidP="00F72E46">
                  <w:pPr>
                    <w:spacing w:after="0" w:line="240" w:lineRule="auto"/>
                    <w:jc w:val="both"/>
                    <w:rPr>
                      <w:rFonts w:ascii="Times New Roman" w:hAnsi="Times New Roman" w:cs="Times New Roman"/>
                      <w:sz w:val="24"/>
                      <w:szCs w:val="24"/>
                    </w:rPr>
                  </w:pPr>
                  <w:r w:rsidRPr="005F774A">
                    <w:rPr>
                      <w:rFonts w:ascii="Times New Roman" w:hAnsi="Times New Roman" w:cs="Times New Roman"/>
                      <w:sz w:val="24"/>
                      <w:szCs w:val="24"/>
                    </w:rPr>
                    <w:t>Nē</w:t>
                  </w:r>
                </w:p>
              </w:tc>
              <w:tc>
                <w:tcPr>
                  <w:tcW w:w="783" w:type="pct"/>
                  <w:hideMark/>
                </w:tcPr>
                <w:p w14:paraId="1DF32B65" w14:textId="52D4B509" w:rsidR="006A3D72" w:rsidRPr="00A143C5" w:rsidRDefault="006A3D72" w:rsidP="4CB7E02F">
                  <w:pPr>
                    <w:spacing w:after="0" w:line="240" w:lineRule="auto"/>
                    <w:jc w:val="both"/>
                    <w:rPr>
                      <w:rFonts w:ascii="Times New Roman" w:eastAsiaTheme="minorEastAsia" w:hAnsi="Times New Roman" w:cs="Times New Roman"/>
                      <w:sz w:val="24"/>
                      <w:szCs w:val="24"/>
                    </w:rPr>
                  </w:pPr>
                  <w:r w:rsidRPr="00A143C5">
                    <w:rPr>
                      <w:rFonts w:ascii="Times New Roman" w:eastAsiaTheme="minorEastAsia" w:hAnsi="Times New Roman" w:cs="Times New Roman"/>
                      <w:sz w:val="24"/>
                      <w:szCs w:val="24"/>
                    </w:rPr>
                    <w:t>2023. g. II cet.</w:t>
                  </w:r>
                </w:p>
                <w:p w14:paraId="0C692CBA" w14:textId="0D09F417" w:rsidR="006A3D72" w:rsidRPr="00A143C5" w:rsidRDefault="006A3D72" w:rsidP="00005CE3">
                  <w:pPr>
                    <w:spacing w:after="0" w:line="240" w:lineRule="auto"/>
                    <w:rPr>
                      <w:rFonts w:ascii="Times New Roman" w:eastAsiaTheme="minorEastAsia" w:hAnsi="Times New Roman" w:cs="Times New Roman"/>
                      <w:sz w:val="24"/>
                      <w:szCs w:val="24"/>
                    </w:rPr>
                  </w:pPr>
                  <w:r w:rsidRPr="00A143C5">
                    <w:rPr>
                      <w:rFonts w:ascii="Times New Roman" w:eastAsiaTheme="minorEastAsia" w:hAnsi="Times New Roman" w:cs="Times New Roman"/>
                      <w:sz w:val="24"/>
                      <w:szCs w:val="24"/>
                    </w:rPr>
                    <w:t>IKT aktivitāšu aprakstu izmaiņu pieprasījumi saskaņoti 2025.</w:t>
                  </w:r>
                  <w:r w:rsidR="00034161">
                    <w:rPr>
                      <w:rFonts w:ascii="Times New Roman" w:eastAsiaTheme="minorEastAsia" w:hAnsi="Times New Roman" w:cs="Times New Roman"/>
                      <w:sz w:val="24"/>
                      <w:szCs w:val="24"/>
                    </w:rPr>
                    <w:t xml:space="preserve"> </w:t>
                  </w:r>
                  <w:r w:rsidRPr="00A143C5">
                    <w:rPr>
                      <w:rFonts w:ascii="Times New Roman" w:eastAsiaTheme="minorEastAsia" w:hAnsi="Times New Roman" w:cs="Times New Roman"/>
                      <w:sz w:val="24"/>
                      <w:szCs w:val="24"/>
                    </w:rPr>
                    <w:t>gada II</w:t>
                  </w:r>
                  <w:r w:rsidR="00034161">
                    <w:rPr>
                      <w:rFonts w:ascii="Times New Roman" w:eastAsiaTheme="minorEastAsia" w:hAnsi="Times New Roman" w:cs="Times New Roman"/>
                      <w:sz w:val="24"/>
                      <w:szCs w:val="24"/>
                    </w:rPr>
                    <w:t> </w:t>
                  </w:r>
                  <w:r w:rsidRPr="00A143C5">
                    <w:rPr>
                      <w:rFonts w:ascii="Times New Roman" w:eastAsiaTheme="minorEastAsia" w:hAnsi="Times New Roman" w:cs="Times New Roman"/>
                      <w:sz w:val="24"/>
                      <w:szCs w:val="24"/>
                    </w:rPr>
                    <w:t>cet.</w:t>
                  </w:r>
                </w:p>
              </w:tc>
              <w:tc>
                <w:tcPr>
                  <w:tcW w:w="612" w:type="pct"/>
                  <w:tcBorders>
                    <w:right w:val="single" w:sz="4" w:space="0" w:color="auto"/>
                  </w:tcBorders>
                  <w:hideMark/>
                </w:tcPr>
                <w:p w14:paraId="39E59FD5" w14:textId="27C97823"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31.05.2026.</w:t>
                  </w:r>
                </w:p>
              </w:tc>
              <w:tc>
                <w:tcPr>
                  <w:tcW w:w="1228" w:type="pct"/>
                  <w:tcBorders>
                    <w:top w:val="single" w:sz="4" w:space="0" w:color="auto"/>
                    <w:left w:val="single" w:sz="4" w:space="0" w:color="auto"/>
                    <w:bottom w:val="single" w:sz="4" w:space="0" w:color="auto"/>
                    <w:right w:val="single" w:sz="4" w:space="0" w:color="auto"/>
                  </w:tcBorders>
                  <w:hideMark/>
                </w:tcPr>
                <w:p w14:paraId="3931741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100</w:t>
                  </w:r>
                </w:p>
              </w:tc>
            </w:tr>
            <w:tr w:rsidR="006A3D72" w:rsidRPr="00F72E46" w14:paraId="0BE49D6F" w14:textId="77777777" w:rsidTr="4CB7E02F">
              <w:tc>
                <w:tcPr>
                  <w:tcW w:w="345" w:type="pct"/>
                  <w:hideMark/>
                </w:tcPr>
                <w:p w14:paraId="2914944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4</w:t>
                  </w:r>
                </w:p>
              </w:tc>
              <w:tc>
                <w:tcPr>
                  <w:tcW w:w="649" w:type="pct"/>
                  <w:hideMark/>
                </w:tcPr>
                <w:p w14:paraId="15885E27"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BKUS IS pielāgojumi un/vai jaunu IS izstrāde</w:t>
                  </w:r>
                </w:p>
              </w:tc>
              <w:tc>
                <w:tcPr>
                  <w:tcW w:w="1003" w:type="pct"/>
                  <w:hideMark/>
                </w:tcPr>
                <w:p w14:paraId="2B90BE29"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Tiks pielāgotas BKUS esošās un/vai izstrādātas jaunas IS, lai nodrošinātu:</w:t>
                  </w:r>
                </w:p>
                <w:p w14:paraId="6ADBE303"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radīšanu un uzkrāšanu atbilstoši savstarpēji saskaņotam datu modelim;</w:t>
                  </w:r>
                </w:p>
                <w:p w14:paraId="10A0EC2B" w14:textId="77777777"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onkoloģijas pacientu datu nodošanu uz KUS onkoloģijas pacientu platformu;</w:t>
                  </w:r>
                </w:p>
                <w:p w14:paraId="0890EDB0" w14:textId="5BBFD79C" w:rsidR="006A3D72" w:rsidRPr="00F72E46" w:rsidRDefault="006A3D72" w:rsidP="006232BB">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 platformā uzkrāto datu attēlošanu BKUS lietotājiem</w:t>
                  </w:r>
                </w:p>
              </w:tc>
              <w:tc>
                <w:tcPr>
                  <w:tcW w:w="381" w:type="pct"/>
                  <w:hideMark/>
                </w:tcPr>
                <w:p w14:paraId="3AFB3807" w14:textId="77777777" w:rsidR="006A3D72" w:rsidRPr="005F774A" w:rsidRDefault="006A3D72" w:rsidP="00F72E46">
                  <w:pPr>
                    <w:spacing w:after="0" w:line="240" w:lineRule="auto"/>
                    <w:jc w:val="both"/>
                    <w:rPr>
                      <w:rFonts w:ascii="Times New Roman" w:hAnsi="Times New Roman" w:cs="Times New Roman"/>
                      <w:sz w:val="24"/>
                      <w:szCs w:val="24"/>
                    </w:rPr>
                  </w:pPr>
                  <w:r w:rsidRPr="005F774A">
                    <w:rPr>
                      <w:rFonts w:ascii="Times New Roman" w:hAnsi="Times New Roman" w:cs="Times New Roman"/>
                      <w:sz w:val="24"/>
                      <w:szCs w:val="24"/>
                    </w:rPr>
                    <w:t>Nē</w:t>
                  </w:r>
                </w:p>
              </w:tc>
              <w:tc>
                <w:tcPr>
                  <w:tcW w:w="783" w:type="pct"/>
                  <w:hideMark/>
                </w:tcPr>
                <w:p w14:paraId="4EADB705" w14:textId="55F07BCA" w:rsidR="006A3D72" w:rsidRPr="005F774A" w:rsidRDefault="006A3D72" w:rsidP="4CB7E02F">
                  <w:pPr>
                    <w:spacing w:after="0" w:line="240" w:lineRule="auto"/>
                    <w:jc w:val="both"/>
                    <w:rPr>
                      <w:rFonts w:ascii="Times New Roman" w:hAnsi="Times New Roman" w:cs="Times New Roman"/>
                      <w:sz w:val="24"/>
                      <w:szCs w:val="24"/>
                    </w:rPr>
                  </w:pPr>
                  <w:r w:rsidRPr="005F774A">
                    <w:rPr>
                      <w:rFonts w:ascii="Times New Roman" w:hAnsi="Times New Roman" w:cs="Times New Roman"/>
                      <w:sz w:val="24"/>
                      <w:szCs w:val="24"/>
                    </w:rPr>
                    <w:t>2023. g. II cet.</w:t>
                  </w:r>
                </w:p>
                <w:p w14:paraId="52A13C22" w14:textId="51E5C423" w:rsidR="006A3D72" w:rsidRPr="00A143C5" w:rsidRDefault="006A3D72" w:rsidP="00005CE3">
                  <w:pPr>
                    <w:spacing w:after="0" w:line="240" w:lineRule="auto"/>
                    <w:rPr>
                      <w:rFonts w:ascii="Times New Roman" w:eastAsia="Times New Roman" w:hAnsi="Times New Roman" w:cs="Times New Roman"/>
                      <w:sz w:val="24"/>
                      <w:szCs w:val="24"/>
                    </w:rPr>
                  </w:pPr>
                  <w:r w:rsidRPr="00A143C5">
                    <w:rPr>
                      <w:rFonts w:ascii="Times New Roman" w:eastAsia="Arial" w:hAnsi="Times New Roman" w:cs="Times New Roman"/>
                      <w:color w:val="414142"/>
                      <w:sz w:val="24"/>
                      <w:szCs w:val="24"/>
                    </w:rPr>
                    <w:t>IKT aktivitāšu aprakstu izmaiņu pieprasījumi saskaņoti 2025.</w:t>
                  </w:r>
                  <w:r w:rsidR="00034161">
                    <w:rPr>
                      <w:rFonts w:ascii="Times New Roman" w:eastAsia="Arial" w:hAnsi="Times New Roman" w:cs="Times New Roman"/>
                      <w:color w:val="414142"/>
                      <w:sz w:val="24"/>
                      <w:szCs w:val="24"/>
                    </w:rPr>
                    <w:t xml:space="preserve"> </w:t>
                  </w:r>
                  <w:r w:rsidRPr="00A143C5">
                    <w:rPr>
                      <w:rFonts w:ascii="Times New Roman" w:eastAsia="Arial" w:hAnsi="Times New Roman" w:cs="Times New Roman"/>
                      <w:color w:val="414142"/>
                      <w:sz w:val="24"/>
                      <w:szCs w:val="24"/>
                    </w:rPr>
                    <w:t>gada II</w:t>
                  </w:r>
                  <w:r w:rsidR="00034161">
                    <w:rPr>
                      <w:rFonts w:ascii="Times New Roman" w:eastAsia="Arial" w:hAnsi="Times New Roman" w:cs="Times New Roman"/>
                      <w:color w:val="414142"/>
                      <w:sz w:val="24"/>
                      <w:szCs w:val="24"/>
                    </w:rPr>
                    <w:t> </w:t>
                  </w:r>
                  <w:r w:rsidRPr="00A143C5">
                    <w:rPr>
                      <w:rFonts w:ascii="Times New Roman" w:eastAsia="Arial" w:hAnsi="Times New Roman" w:cs="Times New Roman"/>
                      <w:color w:val="414142"/>
                      <w:sz w:val="24"/>
                      <w:szCs w:val="24"/>
                    </w:rPr>
                    <w:t>cet.</w:t>
                  </w:r>
                </w:p>
              </w:tc>
              <w:tc>
                <w:tcPr>
                  <w:tcW w:w="612" w:type="pct"/>
                  <w:tcBorders>
                    <w:right w:val="single" w:sz="4" w:space="0" w:color="auto"/>
                  </w:tcBorders>
                  <w:hideMark/>
                </w:tcPr>
                <w:p w14:paraId="0E8CCB28" w14:textId="18CC03B9"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31.05.2026.</w:t>
                  </w:r>
                </w:p>
              </w:tc>
              <w:tc>
                <w:tcPr>
                  <w:tcW w:w="1228" w:type="pct"/>
                  <w:tcBorders>
                    <w:top w:val="single" w:sz="4" w:space="0" w:color="auto"/>
                    <w:left w:val="single" w:sz="4" w:space="0" w:color="auto"/>
                    <w:bottom w:val="single" w:sz="4" w:space="0" w:color="auto"/>
                    <w:right w:val="single" w:sz="4" w:space="0" w:color="auto"/>
                  </w:tcBorders>
                  <w:hideMark/>
                </w:tcPr>
                <w:p w14:paraId="4A5A7919"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100</w:t>
                  </w:r>
                </w:p>
              </w:tc>
            </w:tr>
          </w:tbl>
          <w:p w14:paraId="5C786DA2"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5.2. Centralizētās funkcijas vai koplietošanas pakalpojumi</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747"/>
              <w:gridCol w:w="2057"/>
              <w:gridCol w:w="2805"/>
              <w:gridCol w:w="2151"/>
              <w:gridCol w:w="1590"/>
            </w:tblGrid>
            <w:tr w:rsidR="006A3D72" w:rsidRPr="00F72E46" w14:paraId="4F2B58B8" w14:textId="77777777" w:rsidTr="00EA2709">
              <w:tc>
                <w:tcPr>
                  <w:tcW w:w="400" w:type="pct"/>
                  <w:tcBorders>
                    <w:top w:val="outset" w:sz="6" w:space="0" w:color="414142"/>
                    <w:left w:val="outset" w:sz="6" w:space="0" w:color="414142"/>
                    <w:bottom w:val="outset" w:sz="6" w:space="0" w:color="414142"/>
                    <w:right w:val="outset" w:sz="6" w:space="0" w:color="414142"/>
                  </w:tcBorders>
                  <w:vAlign w:val="center"/>
                  <w:hideMark/>
                </w:tcPr>
                <w:p w14:paraId="1312D68B"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Skaits</w:t>
                  </w:r>
                </w:p>
              </w:tc>
              <w:tc>
                <w:tcPr>
                  <w:tcW w:w="1100" w:type="pct"/>
                  <w:tcBorders>
                    <w:top w:val="outset" w:sz="6" w:space="0" w:color="414142"/>
                    <w:left w:val="outset" w:sz="6" w:space="0" w:color="414142"/>
                    <w:bottom w:val="outset" w:sz="6" w:space="0" w:color="414142"/>
                    <w:right w:val="outset" w:sz="6" w:space="0" w:color="414142"/>
                  </w:tcBorders>
                  <w:vAlign w:val="center"/>
                  <w:hideMark/>
                </w:tcPr>
                <w:p w14:paraId="54BD3B2E"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Pakalpojums (pakalpojumu grupa)</w:t>
                  </w:r>
                </w:p>
              </w:tc>
              <w:tc>
                <w:tcPr>
                  <w:tcW w:w="1500" w:type="pct"/>
                  <w:tcBorders>
                    <w:top w:val="outset" w:sz="6" w:space="0" w:color="414142"/>
                    <w:left w:val="outset" w:sz="6" w:space="0" w:color="414142"/>
                    <w:bottom w:val="outset" w:sz="6" w:space="0" w:color="414142"/>
                    <w:right w:val="outset" w:sz="6" w:space="0" w:color="414142"/>
                  </w:tcBorders>
                  <w:vAlign w:val="center"/>
                  <w:hideMark/>
                </w:tcPr>
                <w:p w14:paraId="7A9445C0"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Koplietošanas pakalpojumu lietotāji (institūcijas)</w:t>
                  </w:r>
                </w:p>
              </w:tc>
              <w:tc>
                <w:tcPr>
                  <w:tcW w:w="1150" w:type="pct"/>
                  <w:tcBorders>
                    <w:top w:val="outset" w:sz="6" w:space="0" w:color="414142"/>
                    <w:left w:val="outset" w:sz="6" w:space="0" w:color="414142"/>
                    <w:bottom w:val="outset" w:sz="6" w:space="0" w:color="414142"/>
                    <w:right w:val="outset" w:sz="6" w:space="0" w:color="414142"/>
                  </w:tcBorders>
                  <w:vAlign w:val="center"/>
                  <w:hideMark/>
                </w:tcPr>
                <w:p w14:paraId="2544C220" w14:textId="77777777" w:rsidR="006A3D72" w:rsidRPr="00F72E46" w:rsidRDefault="006A3D72" w:rsidP="00005CE3">
                  <w:pPr>
                    <w:spacing w:after="0" w:line="240" w:lineRule="auto"/>
                    <w:rPr>
                      <w:rFonts w:ascii="Times New Roman" w:hAnsi="Times New Roman" w:cs="Times New Roman"/>
                      <w:sz w:val="24"/>
                      <w:szCs w:val="24"/>
                    </w:rPr>
                  </w:pPr>
                  <w:r w:rsidRPr="00F72E46">
                    <w:rPr>
                      <w:rFonts w:ascii="Times New Roman" w:hAnsi="Times New Roman" w:cs="Times New Roman"/>
                      <w:sz w:val="24"/>
                      <w:szCs w:val="24"/>
                    </w:rPr>
                    <w:t>Norāde uz Ministru kabineta lēmumu par attīstības plānu</w:t>
                  </w:r>
                  <w:r w:rsidRPr="00F72E46">
                    <w:rPr>
                      <w:rFonts w:ascii="Times New Roman" w:hAnsi="Times New Roman" w:cs="Times New Roman"/>
                      <w:sz w:val="24"/>
                      <w:szCs w:val="24"/>
                      <w:vertAlign w:val="superscript"/>
                    </w:rPr>
                    <w:t>10</w:t>
                  </w:r>
                </w:p>
              </w:tc>
              <w:tc>
                <w:tcPr>
                  <w:tcW w:w="850" w:type="pct"/>
                  <w:tcBorders>
                    <w:top w:val="outset" w:sz="6" w:space="0" w:color="414142"/>
                    <w:left w:val="outset" w:sz="6" w:space="0" w:color="414142"/>
                    <w:bottom w:val="outset" w:sz="6" w:space="0" w:color="414142"/>
                    <w:right w:val="outset" w:sz="6" w:space="0" w:color="414142"/>
                  </w:tcBorders>
                  <w:vAlign w:val="center"/>
                  <w:hideMark/>
                </w:tcPr>
                <w:p w14:paraId="59D80457"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Termiņš ieviešanai (gads, ceturksnis)</w:t>
                  </w:r>
                </w:p>
              </w:tc>
            </w:tr>
            <w:tr w:rsidR="006A3D72" w:rsidRPr="00F72E46" w14:paraId="10B5F515" w14:textId="77777777" w:rsidTr="00F05CBD">
              <w:tc>
                <w:tcPr>
                  <w:tcW w:w="400" w:type="pct"/>
                  <w:tcBorders>
                    <w:top w:val="outset" w:sz="6" w:space="0" w:color="414142"/>
                    <w:left w:val="outset" w:sz="6" w:space="0" w:color="414142"/>
                    <w:bottom w:val="outset" w:sz="6" w:space="0" w:color="414142"/>
                    <w:right w:val="outset" w:sz="6" w:space="0" w:color="414142"/>
                  </w:tcBorders>
                  <w:vAlign w:val="center"/>
                  <w:hideMark/>
                </w:tcPr>
                <w:p w14:paraId="4CF75FE3"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 </w:t>
                  </w:r>
                </w:p>
              </w:tc>
              <w:tc>
                <w:tcPr>
                  <w:tcW w:w="1100" w:type="pct"/>
                  <w:tcBorders>
                    <w:top w:val="outset" w:sz="6" w:space="0" w:color="414142"/>
                    <w:left w:val="outset" w:sz="6" w:space="0" w:color="414142"/>
                    <w:bottom w:val="outset" w:sz="6" w:space="0" w:color="414142"/>
                    <w:right w:val="outset" w:sz="6" w:space="0" w:color="414142"/>
                  </w:tcBorders>
                  <w:hideMark/>
                </w:tcPr>
                <w:p w14:paraId="49266786"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N/A</w:t>
                  </w:r>
                </w:p>
              </w:tc>
              <w:tc>
                <w:tcPr>
                  <w:tcW w:w="1500" w:type="pct"/>
                  <w:tcBorders>
                    <w:top w:val="outset" w:sz="6" w:space="0" w:color="414142"/>
                    <w:left w:val="outset" w:sz="6" w:space="0" w:color="414142"/>
                    <w:bottom w:val="outset" w:sz="6" w:space="0" w:color="414142"/>
                    <w:right w:val="outset" w:sz="6" w:space="0" w:color="414142"/>
                  </w:tcBorders>
                  <w:hideMark/>
                </w:tcPr>
                <w:p w14:paraId="615E5446"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N/A</w:t>
                  </w:r>
                </w:p>
              </w:tc>
              <w:tc>
                <w:tcPr>
                  <w:tcW w:w="1150" w:type="pct"/>
                  <w:tcBorders>
                    <w:top w:val="outset" w:sz="6" w:space="0" w:color="414142"/>
                    <w:left w:val="outset" w:sz="6" w:space="0" w:color="414142"/>
                    <w:bottom w:val="outset" w:sz="6" w:space="0" w:color="414142"/>
                    <w:right w:val="outset" w:sz="6" w:space="0" w:color="414142"/>
                  </w:tcBorders>
                  <w:hideMark/>
                </w:tcPr>
                <w:p w14:paraId="7AD3DE0A"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N/A</w:t>
                  </w:r>
                </w:p>
              </w:tc>
              <w:tc>
                <w:tcPr>
                  <w:tcW w:w="850" w:type="pct"/>
                  <w:tcBorders>
                    <w:top w:val="outset" w:sz="6" w:space="0" w:color="414142"/>
                    <w:left w:val="outset" w:sz="6" w:space="0" w:color="414142"/>
                    <w:bottom w:val="outset" w:sz="6" w:space="0" w:color="414142"/>
                    <w:right w:val="outset" w:sz="6" w:space="0" w:color="414142"/>
                  </w:tcBorders>
                  <w:hideMark/>
                </w:tcPr>
                <w:p w14:paraId="2CFA12F4"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N/A</w:t>
                  </w:r>
                </w:p>
              </w:tc>
            </w:tr>
          </w:tbl>
          <w:p w14:paraId="2F87E352"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5.3. Centralizēti pārvaldāmās nozares būtiskās datu kopas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747"/>
              <w:gridCol w:w="7013"/>
              <w:gridCol w:w="1590"/>
            </w:tblGrid>
            <w:tr w:rsidR="006A3D72" w:rsidRPr="00F72E46" w14:paraId="1F25B621" w14:textId="77777777" w:rsidTr="4CB7E02F">
              <w:tc>
                <w:tcPr>
                  <w:tcW w:w="400" w:type="pct"/>
                  <w:tcBorders>
                    <w:top w:val="outset" w:sz="6" w:space="0" w:color="414142"/>
                    <w:left w:val="outset" w:sz="6" w:space="0" w:color="414142"/>
                    <w:bottom w:val="outset" w:sz="6" w:space="0" w:color="414142"/>
                    <w:right w:val="outset" w:sz="6" w:space="0" w:color="414142"/>
                  </w:tcBorders>
                  <w:vAlign w:val="center"/>
                  <w:hideMark/>
                </w:tcPr>
                <w:p w14:paraId="0B289F94"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Skaits</w:t>
                  </w:r>
                </w:p>
              </w:tc>
              <w:tc>
                <w:tcPr>
                  <w:tcW w:w="3750" w:type="pct"/>
                  <w:tcBorders>
                    <w:top w:val="outset" w:sz="6" w:space="0" w:color="414142"/>
                    <w:left w:val="outset" w:sz="6" w:space="0" w:color="414142"/>
                    <w:bottom w:val="outset" w:sz="6" w:space="0" w:color="414142"/>
                    <w:right w:val="outset" w:sz="6" w:space="0" w:color="414142"/>
                  </w:tcBorders>
                  <w:vAlign w:val="center"/>
                  <w:hideMark/>
                </w:tcPr>
                <w:p w14:paraId="307E9BA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Saturu raksturojošs nosaukums</w:t>
                  </w:r>
                </w:p>
              </w:tc>
              <w:tc>
                <w:tcPr>
                  <w:tcW w:w="850" w:type="pct"/>
                  <w:tcBorders>
                    <w:top w:val="outset" w:sz="6" w:space="0" w:color="414142"/>
                    <w:left w:val="outset" w:sz="6" w:space="0" w:color="414142"/>
                    <w:bottom w:val="outset" w:sz="6" w:space="0" w:color="414142"/>
                    <w:right w:val="outset" w:sz="6" w:space="0" w:color="414142"/>
                  </w:tcBorders>
                  <w:vAlign w:val="center"/>
                  <w:hideMark/>
                </w:tcPr>
                <w:p w14:paraId="04251F1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Termiņš piekļuves nodrošināšanai (gads, ceturksnis)</w:t>
                  </w:r>
                </w:p>
              </w:tc>
            </w:tr>
            <w:tr w:rsidR="006A3D72" w:rsidRPr="00F72E46" w14:paraId="3F87208A" w14:textId="77777777" w:rsidTr="4CB7E02F">
              <w:tc>
                <w:tcPr>
                  <w:tcW w:w="400" w:type="pct"/>
                  <w:tcBorders>
                    <w:top w:val="outset" w:sz="6" w:space="0" w:color="414142"/>
                    <w:left w:val="outset" w:sz="6" w:space="0" w:color="414142"/>
                    <w:bottom w:val="outset" w:sz="6" w:space="0" w:color="414142"/>
                    <w:right w:val="outset" w:sz="6" w:space="0" w:color="414142"/>
                  </w:tcBorders>
                  <w:hideMark/>
                </w:tcPr>
                <w:p w14:paraId="04C8D97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w:t>
                  </w:r>
                </w:p>
              </w:tc>
              <w:tc>
                <w:tcPr>
                  <w:tcW w:w="3750" w:type="pct"/>
                  <w:tcBorders>
                    <w:top w:val="outset" w:sz="6" w:space="0" w:color="414142"/>
                    <w:left w:val="outset" w:sz="6" w:space="0" w:color="414142"/>
                    <w:bottom w:val="outset" w:sz="6" w:space="0" w:color="414142"/>
                    <w:right w:val="outset" w:sz="6" w:space="0" w:color="414142"/>
                  </w:tcBorders>
                  <w:hideMark/>
                </w:tcPr>
                <w:p w14:paraId="284C97E2" w14:textId="77777777" w:rsidR="006A3D72" w:rsidRPr="00F72E46" w:rsidRDefault="006A3D72" w:rsidP="00005CE3">
                  <w:pPr>
                    <w:spacing w:after="0" w:line="240" w:lineRule="auto"/>
                    <w:rPr>
                      <w:rFonts w:ascii="Times New Roman" w:hAnsi="Times New Roman" w:cs="Times New Roman"/>
                      <w:sz w:val="24"/>
                      <w:szCs w:val="24"/>
                    </w:rPr>
                  </w:pPr>
                  <w:r w:rsidRPr="4CB7E02F">
                    <w:rPr>
                      <w:rFonts w:ascii="Times New Roman" w:hAnsi="Times New Roman" w:cs="Times New Roman"/>
                      <w:sz w:val="24"/>
                      <w:szCs w:val="24"/>
                    </w:rPr>
                    <w:t>5.3.1. Onkoloģijas pacientu ārstniecības un aprūpes procesa nodrošināšanai nepieciešamie dati – diagnozes, nozīmētās un veiktās terapijas, izmeklējumi, statistiskie dati un citi dati, kas saistīti ar onkoloģijas pacienta ārstniecības un aprūpes procesu</w:t>
                  </w:r>
                </w:p>
              </w:tc>
              <w:tc>
                <w:tcPr>
                  <w:tcW w:w="850" w:type="pct"/>
                  <w:tcBorders>
                    <w:top w:val="outset" w:sz="6" w:space="0" w:color="414142"/>
                    <w:left w:val="outset" w:sz="6" w:space="0" w:color="414142"/>
                    <w:bottom w:val="outset" w:sz="6" w:space="0" w:color="414142"/>
                    <w:right w:val="outset" w:sz="6" w:space="0" w:color="414142"/>
                  </w:tcBorders>
                  <w:hideMark/>
                </w:tcPr>
                <w:p w14:paraId="1D6B7C2A" w14:textId="50422919"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2026. g. II cet.</w:t>
                  </w:r>
                </w:p>
              </w:tc>
            </w:tr>
          </w:tbl>
          <w:p w14:paraId="3DF81A56" w14:textId="77777777" w:rsidR="006A3D72" w:rsidRPr="00F72E46" w:rsidRDefault="006A3D72" w:rsidP="00005CE3">
            <w:pPr>
              <w:spacing w:before="120" w:after="120" w:line="240" w:lineRule="auto"/>
              <w:jc w:val="both"/>
              <w:rPr>
                <w:rFonts w:ascii="Times New Roman" w:hAnsi="Times New Roman" w:cs="Times New Roman"/>
                <w:sz w:val="24"/>
                <w:szCs w:val="24"/>
              </w:rPr>
            </w:pPr>
            <w:r w:rsidRPr="00F72E46">
              <w:rPr>
                <w:rFonts w:ascii="Times New Roman" w:hAnsi="Times New Roman" w:cs="Times New Roman"/>
                <w:b/>
                <w:bCs/>
                <w:sz w:val="24"/>
                <w:szCs w:val="24"/>
              </w:rPr>
              <w:t>6. Projekta pārvaldības un īstenošanas kapacitāte</w:t>
            </w:r>
            <w:r w:rsidRPr="00F72E46">
              <w:rPr>
                <w:rFonts w:ascii="Times New Roman" w:hAnsi="Times New Roman" w:cs="Times New Roman"/>
                <w:sz w:val="24"/>
                <w:szCs w:val="24"/>
                <w:vertAlign w:val="superscript"/>
              </w:rPr>
              <w:t>11</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50"/>
            </w:tblGrid>
            <w:tr w:rsidR="006A3D72" w:rsidRPr="00F72E46" w14:paraId="30B055CC" w14:textId="77777777" w:rsidTr="359AEA39">
              <w:tc>
                <w:tcPr>
                  <w:tcW w:w="8241" w:type="dxa"/>
                  <w:tcBorders>
                    <w:top w:val="outset" w:sz="6" w:space="0" w:color="414142"/>
                    <w:left w:val="outset" w:sz="6" w:space="0" w:color="414142"/>
                    <w:bottom w:val="outset" w:sz="6" w:space="0" w:color="414142"/>
                    <w:right w:val="outset" w:sz="6" w:space="0" w:color="414142"/>
                  </w:tcBorders>
                  <w:hideMark/>
                </w:tcPr>
                <w:p w14:paraId="721724AA" w14:textId="76A24BE0"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b/>
                      <w:bCs/>
                      <w:sz w:val="24"/>
                      <w:szCs w:val="24"/>
                    </w:rPr>
                    <w:t>Projekta ietvaros partneri nodrošina iekļaujošu projekta pārvaldības modeli, kas nodrošina integrētu projekta koordinēšanu starp KUS un vienotās platformas izstrādes aktivitātēm.</w:t>
                  </w:r>
                  <w:r w:rsidRPr="00F72E46">
                    <w:rPr>
                      <w:rFonts w:ascii="Times New Roman" w:hAnsi="Times New Roman" w:cs="Times New Roman"/>
                      <w:sz w:val="24"/>
                      <w:szCs w:val="24"/>
                    </w:rPr>
                    <w:t> Atveseļošanas un noturības mehānisma plāna īstenošana un uzraudzība tiks īstenota saskaņā ar Ministru kabineta 2022. gada 14. jūlija noteikumiem Nr. 435 "Eiropas Savienības Atveseļošanas un noturības mehānisma plāna 2. komponentes "Digitālā transformācija" 2.1.</w:t>
                  </w:r>
                  <w:r w:rsidR="007F3010">
                    <w:rPr>
                      <w:rFonts w:ascii="Times New Roman" w:hAnsi="Times New Roman" w:cs="Times New Roman"/>
                      <w:sz w:val="24"/>
                      <w:szCs w:val="24"/>
                    </w:rPr>
                    <w:t> </w:t>
                  </w:r>
                  <w:r w:rsidRPr="00F72E46">
                    <w:rPr>
                      <w:rFonts w:ascii="Times New Roman" w:hAnsi="Times New Roman" w:cs="Times New Roman"/>
                      <w:sz w:val="24"/>
                      <w:szCs w:val="24"/>
                    </w:rPr>
                    <w:t>reformu un investīciju virziena "Valsts pārvaldes, tai skaitā pašvaldību, digitālā transformācija" īstenošanas noteikumi".</w:t>
                  </w:r>
                </w:p>
                <w:p w14:paraId="7CE67C46" w14:textId="4B45D66C"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Projekta vadošais partneris (RAKUS) nodrošinās projekta vadītāju un PSKUS</w:t>
                  </w:r>
                  <w:r>
                    <w:rPr>
                      <w:rFonts w:ascii="Times New Roman" w:hAnsi="Times New Roman" w:cs="Times New Roman"/>
                      <w:sz w:val="24"/>
                      <w:szCs w:val="24"/>
                    </w:rPr>
                    <w:t xml:space="preserve">, </w:t>
                  </w:r>
                  <w:r w:rsidRPr="359AEA39">
                    <w:rPr>
                      <w:rFonts w:ascii="Times New Roman" w:hAnsi="Times New Roman" w:cs="Times New Roman"/>
                      <w:sz w:val="24"/>
                      <w:szCs w:val="24"/>
                    </w:rPr>
                    <w:t>BKUS, LDVC</w:t>
                  </w:r>
                  <w:r>
                    <w:rPr>
                      <w:rFonts w:ascii="Times New Roman" w:hAnsi="Times New Roman" w:cs="Times New Roman"/>
                      <w:sz w:val="24"/>
                      <w:szCs w:val="24"/>
                    </w:rPr>
                    <w:t>, un SPKC</w:t>
                  </w:r>
                  <w:r w:rsidRPr="359AEA39">
                    <w:rPr>
                      <w:rFonts w:ascii="Times New Roman" w:hAnsi="Times New Roman" w:cs="Times New Roman"/>
                      <w:sz w:val="24"/>
                      <w:szCs w:val="24"/>
                    </w:rPr>
                    <w:t xml:space="preserve"> –aktivitāšu koordinatorus.</w:t>
                  </w:r>
                </w:p>
                <w:p w14:paraId="313A86A3"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Atbilstoši projekta struktūrai vadošais partneris (RAKUS) nodrošinās projekta partneru vadības integrēšanu projekta kopējā struktūrā. Katrs partneris atsevišķi nodrošinās projekta aktivitāšu koordinēšanu, piesaistot projekta koordinatorus.</w:t>
                  </w:r>
                </w:p>
                <w:p w14:paraId="2D4BE2C6" w14:textId="5C963B96"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Lai īstenotu aktivitātes, projektam tiks piesaistīti eksperti, kas nodrošinās arhitektūras, tehniskās dokumentācijas un programmatūras izstrādi, tādējādi nodrošinot projekta aktivitāšu faktisko īstenošanu. Aktivitātes tiks īstenotas, organizējot darba grupas. Ekspertu pieejamība tiks nodrošināta, izmantojot ārpakalpojumu vai piesaistot iekšējos resursus.</w:t>
                  </w:r>
                </w:p>
                <w:p w14:paraId="53478B5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Projekta vadības grupā ir iekļauti visu sadarbības partneru pārstāvji.</w:t>
                  </w:r>
                </w:p>
                <w:p w14:paraId="0DE98367" w14:textId="7FEE3B3F"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Projekta vadībai un īstenošanai nepieciešamais personāls ir projekta partneru rīcībā un, ja nepieciešams, tiks papildus piesaistīts, izveidojot atbilstošas amatu vietas vai piesaistot kā ārpakalpojumu. Projektā plānotais finansējums personāla izmaksu segšanai atbilstoši nepieciešamībai var tikt sadalīts starp sadarbības partneriem – RAKUS, PSKUS, BKUS,</w:t>
                  </w:r>
                  <w:r>
                    <w:rPr>
                      <w:rFonts w:ascii="Times New Roman" w:hAnsi="Times New Roman" w:cs="Times New Roman"/>
                      <w:sz w:val="24"/>
                      <w:szCs w:val="24"/>
                    </w:rPr>
                    <w:t xml:space="preserve"> SPKC</w:t>
                  </w:r>
                  <w:r w:rsidRPr="359AEA39">
                    <w:rPr>
                      <w:rFonts w:ascii="Times New Roman" w:hAnsi="Times New Roman" w:cs="Times New Roman"/>
                      <w:sz w:val="24"/>
                      <w:szCs w:val="24"/>
                    </w:rPr>
                    <w:t xml:space="preserve"> un LDVC, lai veidotu vienotu IKT pārvaldības arhitektūru.</w:t>
                  </w:r>
                </w:p>
                <w:p w14:paraId="5262BB17"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Projekta īstenošanas uzraudzību koordinē Veselības ministrija atbilstoši nozarē noteiktajai kārtībai</w:t>
                  </w:r>
                </w:p>
              </w:tc>
            </w:tr>
          </w:tbl>
          <w:p w14:paraId="77D830EC" w14:textId="77777777" w:rsidR="006A3D72" w:rsidRPr="00F72E46" w:rsidRDefault="006A3D72" w:rsidP="00005CE3">
            <w:pPr>
              <w:spacing w:before="120" w:after="120" w:line="240" w:lineRule="auto"/>
              <w:jc w:val="both"/>
              <w:rPr>
                <w:rFonts w:ascii="Times New Roman" w:hAnsi="Times New Roman" w:cs="Times New Roman"/>
                <w:sz w:val="24"/>
                <w:szCs w:val="24"/>
              </w:rPr>
            </w:pPr>
            <w:r w:rsidRPr="00F72E46">
              <w:rPr>
                <w:rFonts w:ascii="Times New Roman" w:hAnsi="Times New Roman" w:cs="Times New Roman"/>
                <w:b/>
                <w:bCs/>
                <w:sz w:val="24"/>
                <w:szCs w:val="24"/>
              </w:rPr>
              <w:t>7. Izmaksu/ieguvumu analīze</w:t>
            </w:r>
            <w:r w:rsidRPr="00F72E46">
              <w:rPr>
                <w:rFonts w:ascii="Times New Roman" w:hAnsi="Times New Roman" w:cs="Times New Roman"/>
                <w:sz w:val="24"/>
                <w:szCs w:val="24"/>
                <w:vertAlign w:val="superscript"/>
              </w:rPr>
              <w:t>12</w:t>
            </w:r>
            <w:r w:rsidRPr="00F72E46">
              <w:rPr>
                <w:rFonts w:ascii="Times New Roman" w:hAnsi="Times New Roman" w:cs="Times New Roman"/>
                <w:b/>
                <w:bCs/>
                <w:sz w:val="24"/>
                <w:szCs w:val="24"/>
              </w:rPr>
              <w:t>, tai skaitā ietekme uz pārvaldes darbinieku skaitu</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50"/>
            </w:tblGrid>
            <w:tr w:rsidR="006A3D72" w:rsidRPr="00F72E46" w14:paraId="01EC94D7" w14:textId="77777777" w:rsidTr="4CB7E02F">
              <w:tc>
                <w:tcPr>
                  <w:tcW w:w="8241" w:type="dxa"/>
                  <w:tcBorders>
                    <w:top w:val="outset" w:sz="6" w:space="0" w:color="414142"/>
                    <w:left w:val="outset" w:sz="6" w:space="0" w:color="414142"/>
                    <w:bottom w:val="outset" w:sz="6" w:space="0" w:color="414142"/>
                    <w:right w:val="outset" w:sz="6" w:space="0" w:color="414142"/>
                  </w:tcBorders>
                  <w:hideMark/>
                </w:tcPr>
                <w:p w14:paraId="3BD9C851"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Izmaksu un ieguvumu analīze ir balstīta uz problēmu risināšanu, transformējot procesus un nodrošinot datu apmaiņu starp iesaistītajām pusēm.</w:t>
                  </w:r>
                </w:p>
                <w:p w14:paraId="2CE6AB8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Izmaksu un ieguvumu analīzes ietvaros identificēti šādi ieguvumu scenāriji, kas rada sociālekonomisko ieguvumu no KUS platformas izstrādes aktivitātēm un vienota datu modeļa izveides:</w:t>
                  </w:r>
                </w:p>
                <w:p w14:paraId="28506883" w14:textId="513FC56D"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i/>
                      <w:iCs/>
                      <w:sz w:val="24"/>
                      <w:szCs w:val="24"/>
                    </w:rPr>
                    <w:t>- Ieviešot KUS platformu,</w:t>
                  </w:r>
                  <w:r w:rsidRPr="00F72E46">
                    <w:rPr>
                      <w:rFonts w:ascii="Times New Roman" w:hAnsi="Times New Roman" w:cs="Times New Roman"/>
                      <w:sz w:val="24"/>
                      <w:szCs w:val="24"/>
                    </w:rPr>
                    <w:t> </w:t>
                  </w:r>
                  <w:r w:rsidRPr="00F72E46">
                    <w:rPr>
                      <w:rFonts w:ascii="Times New Roman" w:hAnsi="Times New Roman" w:cs="Times New Roman"/>
                      <w:i/>
                      <w:iCs/>
                      <w:sz w:val="24"/>
                      <w:szCs w:val="24"/>
                    </w:rPr>
                    <w:t>samazinās laiks, kas ārstniecības personai nepieciešams, lai apkopotu datus par pacientu.</w:t>
                  </w:r>
                </w:p>
                <w:p w14:paraId="2FC64215" w14:textId="69BF58A8" w:rsidR="006A3D72" w:rsidRPr="00F72E46" w:rsidRDefault="006A3D72" w:rsidP="00F72E46">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Ieguvums veidojas, jo projekta ietvaros tiek pielāgotas KUS sistēmas, kas nodrošina vienotu onkoloģijas pacientu datu digitālu pieejamību datu apmaiņai. Tā rezultātā veidojas laika ieguvums visu KUS ārstniecības personāla iesaistei, lai apkopotu datus par pacientu. Izpētes laikā tika identificēts, ka vidēji ārstniecības personāls patērē 2 h uz katru pacientu, lai apkopotu iepriekš KUS saņemto pakalpojumu un analīžu datus un varētu atbilstoši veikt turpmāko ārstēšanu.</w:t>
                  </w:r>
                </w:p>
                <w:p w14:paraId="63E1E6F5"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Onkoloģijā iesaistīto darbinieku skaits – 360 cilvēki</w:t>
                  </w:r>
                </w:p>
                <w:p w14:paraId="6C664235"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Vienas cilvēkstundas cena – 25 </w:t>
                  </w:r>
                  <w:r w:rsidRPr="4CB7E02F">
                    <w:rPr>
                      <w:rFonts w:ascii="Times New Roman" w:hAnsi="Times New Roman" w:cs="Times New Roman"/>
                      <w:i/>
                      <w:iCs/>
                      <w:sz w:val="24"/>
                      <w:szCs w:val="24"/>
                    </w:rPr>
                    <w:t>euro</w:t>
                  </w:r>
                  <w:r w:rsidRPr="4CB7E02F">
                    <w:rPr>
                      <w:rFonts w:ascii="Times New Roman" w:hAnsi="Times New Roman" w:cs="Times New Roman"/>
                      <w:sz w:val="24"/>
                      <w:szCs w:val="24"/>
                    </w:rPr>
                    <w:t>/h</w:t>
                  </w:r>
                </w:p>
                <w:p w14:paraId="2A06D91A"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Pacientu apjoms gadā – 40 000</w:t>
                  </w:r>
                </w:p>
                <w:p w14:paraId="63C37902" w14:textId="6E6229CE" w:rsidR="006A3D72" w:rsidRPr="00117771" w:rsidRDefault="006A3D72" w:rsidP="4CB7E02F">
                  <w:pPr>
                    <w:spacing w:after="0" w:line="240" w:lineRule="auto"/>
                    <w:jc w:val="both"/>
                    <w:rPr>
                      <w:rFonts w:ascii="Times New Roman" w:hAnsi="Times New Roman" w:cs="Times New Roman"/>
                      <w:b/>
                      <w:bCs/>
                      <w:sz w:val="24"/>
                      <w:szCs w:val="24"/>
                    </w:rPr>
                  </w:pPr>
                  <w:r w:rsidRPr="4CB7E02F">
                    <w:rPr>
                      <w:rFonts w:ascii="Times New Roman" w:hAnsi="Times New Roman" w:cs="Times New Roman"/>
                      <w:b/>
                      <w:bCs/>
                      <w:sz w:val="24"/>
                      <w:szCs w:val="24"/>
                    </w:rPr>
                    <w:t>Ieguvums vienā gadā – 2 000 000,00 </w:t>
                  </w:r>
                  <w:r w:rsidRPr="4CB7E02F">
                    <w:rPr>
                      <w:rFonts w:ascii="Times New Roman" w:hAnsi="Times New Roman" w:cs="Times New Roman"/>
                      <w:b/>
                      <w:bCs/>
                      <w:i/>
                      <w:iCs/>
                      <w:sz w:val="24"/>
                      <w:szCs w:val="24"/>
                    </w:rPr>
                    <w:t>euro</w:t>
                  </w:r>
                </w:p>
                <w:p w14:paraId="5D063544" w14:textId="3D39D2A0" w:rsidR="006A3D72" w:rsidRPr="00117771" w:rsidRDefault="006A3D72" w:rsidP="4CB7E02F">
                  <w:pPr>
                    <w:spacing w:after="0" w:line="240" w:lineRule="auto"/>
                    <w:jc w:val="both"/>
                    <w:rPr>
                      <w:rFonts w:ascii="Times New Roman" w:hAnsi="Times New Roman" w:cs="Times New Roman"/>
                      <w:b/>
                      <w:bCs/>
                      <w:sz w:val="24"/>
                      <w:szCs w:val="24"/>
                    </w:rPr>
                  </w:pPr>
                  <w:r w:rsidRPr="4CB7E02F">
                    <w:rPr>
                      <w:rFonts w:ascii="Times New Roman" w:hAnsi="Times New Roman" w:cs="Times New Roman"/>
                      <w:b/>
                      <w:bCs/>
                      <w:sz w:val="24"/>
                      <w:szCs w:val="24"/>
                    </w:rPr>
                    <w:t>Ieguvums piecos gados – 10 000 000,00 </w:t>
                  </w:r>
                  <w:r w:rsidRPr="4CB7E02F">
                    <w:rPr>
                      <w:rFonts w:ascii="Times New Roman" w:hAnsi="Times New Roman" w:cs="Times New Roman"/>
                      <w:b/>
                      <w:bCs/>
                      <w:i/>
                      <w:iCs/>
                      <w:sz w:val="24"/>
                      <w:szCs w:val="24"/>
                    </w:rPr>
                    <w:t>euro</w:t>
                  </w:r>
                </w:p>
                <w:p w14:paraId="52364EFD" w14:textId="1685B86C"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i/>
                      <w:iCs/>
                      <w:sz w:val="24"/>
                      <w:szCs w:val="24"/>
                    </w:rPr>
                    <w:t>- Ieviešot KUS platformu,</w:t>
                  </w:r>
                  <w:r w:rsidRPr="4CB7E02F">
                    <w:rPr>
                      <w:rFonts w:ascii="Times New Roman" w:hAnsi="Times New Roman" w:cs="Times New Roman"/>
                      <w:sz w:val="24"/>
                      <w:szCs w:val="24"/>
                    </w:rPr>
                    <w:t> </w:t>
                  </w:r>
                  <w:r w:rsidRPr="4CB7E02F">
                    <w:rPr>
                      <w:rFonts w:ascii="Times New Roman" w:hAnsi="Times New Roman" w:cs="Times New Roman"/>
                      <w:i/>
                      <w:iCs/>
                      <w:sz w:val="24"/>
                      <w:szCs w:val="24"/>
                    </w:rPr>
                    <w:t>samazinās atkārtoto izmeklējumu skaits, kuri tiek veikti, jo nav pieejami dati par iepriekš veiktajiem izmeklējumiem citā KUS.</w:t>
                  </w:r>
                </w:p>
                <w:p w14:paraId="08811F39"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Onkoloģijā iesaistīto personu skaits – 360 cilvēki</w:t>
                  </w:r>
                </w:p>
                <w:p w14:paraId="5C9782FB"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Vienas cilvēkstundas cena – 25 </w:t>
                  </w:r>
                  <w:r w:rsidRPr="4CB7E02F">
                    <w:rPr>
                      <w:rFonts w:ascii="Times New Roman" w:hAnsi="Times New Roman" w:cs="Times New Roman"/>
                      <w:i/>
                      <w:iCs/>
                      <w:sz w:val="24"/>
                      <w:szCs w:val="24"/>
                    </w:rPr>
                    <w:t>euro</w:t>
                  </w:r>
                  <w:r w:rsidRPr="4CB7E02F">
                    <w:rPr>
                      <w:rFonts w:ascii="Times New Roman" w:hAnsi="Times New Roman" w:cs="Times New Roman"/>
                      <w:sz w:val="24"/>
                      <w:szCs w:val="24"/>
                    </w:rPr>
                    <w:t>/h</w:t>
                  </w:r>
                </w:p>
                <w:p w14:paraId="3B88B6A5" w14:textId="412F9A6C"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Pacientu skaits gadā – 40 000</w:t>
                  </w:r>
                </w:p>
                <w:p w14:paraId="06D39B28"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Radioloģijas izmeklējumu skaits gadā – 100 000</w:t>
                  </w:r>
                </w:p>
                <w:p w14:paraId="7EF3FE62"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Citu analīžu skaits gadā – 350 000</w:t>
                  </w:r>
                </w:p>
                <w:p w14:paraId="7172DFEC"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Radioloģijas izmeklējumu vidējā cena – 200 </w:t>
                  </w:r>
                  <w:r w:rsidRPr="4CB7E02F">
                    <w:rPr>
                      <w:rFonts w:ascii="Times New Roman" w:hAnsi="Times New Roman" w:cs="Times New Roman"/>
                      <w:i/>
                      <w:iCs/>
                      <w:sz w:val="24"/>
                      <w:szCs w:val="24"/>
                    </w:rPr>
                    <w:t>euro</w:t>
                  </w:r>
                </w:p>
                <w:p w14:paraId="5F055758"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Citu analīžu vidējā cena – 75 </w:t>
                  </w:r>
                  <w:r w:rsidRPr="4CB7E02F">
                    <w:rPr>
                      <w:rFonts w:ascii="Times New Roman" w:hAnsi="Times New Roman" w:cs="Times New Roman"/>
                      <w:i/>
                      <w:iCs/>
                      <w:sz w:val="24"/>
                      <w:szCs w:val="24"/>
                    </w:rPr>
                    <w:t>euro</w:t>
                  </w:r>
                </w:p>
                <w:p w14:paraId="6AF4B97C"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Prognozētais ieguvums gadā saistībā ar atkārtoti veikto analīžu apjoma samazināšanos – 10 %</w:t>
                  </w:r>
                </w:p>
                <w:p w14:paraId="497CC72D" w14:textId="5AF8A7A5"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b/>
                      <w:bCs/>
                      <w:sz w:val="24"/>
                      <w:szCs w:val="24"/>
                    </w:rPr>
                    <w:t>Ieguvums</w:t>
                  </w:r>
                  <w:r w:rsidRPr="4CB7E02F">
                    <w:rPr>
                      <w:rFonts w:ascii="Times New Roman" w:hAnsi="Times New Roman" w:cs="Times New Roman"/>
                      <w:sz w:val="24"/>
                      <w:szCs w:val="24"/>
                    </w:rPr>
                    <w:t> </w:t>
                  </w:r>
                  <w:r w:rsidRPr="4CB7E02F">
                    <w:rPr>
                      <w:rFonts w:ascii="Times New Roman" w:hAnsi="Times New Roman" w:cs="Times New Roman"/>
                      <w:b/>
                      <w:bCs/>
                      <w:sz w:val="24"/>
                      <w:szCs w:val="24"/>
                    </w:rPr>
                    <w:t>vienā gadā – 4 625 000,00 </w:t>
                  </w:r>
                  <w:r w:rsidRPr="4CB7E02F">
                    <w:rPr>
                      <w:rFonts w:ascii="Times New Roman" w:hAnsi="Times New Roman" w:cs="Times New Roman"/>
                      <w:b/>
                      <w:bCs/>
                      <w:i/>
                      <w:iCs/>
                      <w:sz w:val="24"/>
                      <w:szCs w:val="24"/>
                    </w:rPr>
                    <w:t>euro</w:t>
                  </w:r>
                </w:p>
                <w:p w14:paraId="52F1F060" w14:textId="0252AF57" w:rsidR="006A3D72" w:rsidRPr="00117771" w:rsidRDefault="006A3D72" w:rsidP="4CB7E02F">
                  <w:pPr>
                    <w:spacing w:after="0" w:line="240" w:lineRule="auto"/>
                    <w:jc w:val="both"/>
                    <w:rPr>
                      <w:rFonts w:ascii="Times New Roman" w:hAnsi="Times New Roman" w:cs="Times New Roman"/>
                      <w:b/>
                      <w:bCs/>
                      <w:sz w:val="24"/>
                      <w:szCs w:val="24"/>
                    </w:rPr>
                  </w:pPr>
                  <w:r w:rsidRPr="4CB7E02F">
                    <w:rPr>
                      <w:rFonts w:ascii="Times New Roman" w:hAnsi="Times New Roman" w:cs="Times New Roman"/>
                      <w:b/>
                      <w:bCs/>
                      <w:sz w:val="24"/>
                      <w:szCs w:val="24"/>
                    </w:rPr>
                    <w:t>Ieguvums piecos gados – 23 125 000,00 </w:t>
                  </w:r>
                  <w:r w:rsidRPr="4CB7E02F">
                    <w:rPr>
                      <w:rFonts w:ascii="Times New Roman" w:hAnsi="Times New Roman" w:cs="Times New Roman"/>
                      <w:b/>
                      <w:bCs/>
                      <w:i/>
                      <w:iCs/>
                      <w:sz w:val="24"/>
                      <w:szCs w:val="24"/>
                    </w:rPr>
                    <w:t>euro</w:t>
                  </w:r>
                </w:p>
                <w:p w14:paraId="269F635A" w14:textId="2300C833" w:rsidR="006A3D72" w:rsidRPr="00117771" w:rsidRDefault="006A3D72" w:rsidP="4CB7E02F">
                  <w:pPr>
                    <w:spacing w:after="0" w:line="240" w:lineRule="auto"/>
                    <w:jc w:val="both"/>
                    <w:rPr>
                      <w:rFonts w:ascii="Times New Roman" w:hAnsi="Times New Roman" w:cs="Times New Roman"/>
                      <w:i/>
                      <w:iCs/>
                      <w:sz w:val="24"/>
                      <w:szCs w:val="24"/>
                    </w:rPr>
                  </w:pPr>
                  <w:r w:rsidRPr="4CB7E02F">
                    <w:rPr>
                      <w:rFonts w:ascii="Times New Roman" w:hAnsi="Times New Roman" w:cs="Times New Roman"/>
                      <w:i/>
                      <w:iCs/>
                      <w:sz w:val="24"/>
                      <w:szCs w:val="24"/>
                    </w:rPr>
                    <w:t>- Ieviešot KUS platformu, paredzēts nodrošināt uzraugošā ārsta regulāro konsultāciju klātienes vizīšu skaita samazinājumu, jo KUS veiktie izmeklējumi būs savstarpēji koplietojami un tādēļ pacientiem no attālākiem reģioniem nebūs nepieciešamības veikt klātienes vizīti.</w:t>
                  </w:r>
                </w:p>
                <w:p w14:paraId="4BB32A51"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Ieguvuma matemātiskie apstākļi:</w:t>
                  </w:r>
                </w:p>
                <w:p w14:paraId="336B4F3A"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Iedzīvotāju skaita proporcija, kuri dzīvo ārpus Rīgas, – 54 %</w:t>
                  </w:r>
                </w:p>
                <w:p w14:paraId="36CB29D4"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Pacientu skaits gadā – 40 000</w:t>
                  </w:r>
                </w:p>
                <w:p w14:paraId="2B1087FA" w14:textId="77777777" w:rsidR="006A3D72" w:rsidRPr="00117771" w:rsidRDefault="006A3D72" w:rsidP="4CB7E02F">
                  <w:pPr>
                    <w:spacing w:after="0" w:line="240" w:lineRule="auto"/>
                    <w:jc w:val="both"/>
                    <w:rPr>
                      <w:rFonts w:ascii="Times New Roman" w:hAnsi="Times New Roman" w:cs="Times New Roman"/>
                      <w:sz w:val="24"/>
                      <w:szCs w:val="24"/>
                    </w:rPr>
                  </w:pPr>
                  <w:r w:rsidRPr="4CB7E02F">
                    <w:rPr>
                      <w:rFonts w:ascii="Times New Roman" w:hAnsi="Times New Roman" w:cs="Times New Roman"/>
                      <w:sz w:val="24"/>
                      <w:szCs w:val="24"/>
                    </w:rPr>
                    <w:t>Pacientu skaits atbilstoši iedzīvotāju skaita proporcijai, kuri dzīvo ārpus Rīgas, – 21 600</w:t>
                  </w:r>
                </w:p>
                <w:p w14:paraId="343D531E"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Pārvietošanās paradumi reģionos</w:t>
                  </w:r>
                  <w:r w:rsidRPr="550048A4">
                    <w:rPr>
                      <w:rFonts w:ascii="Times New Roman" w:hAnsi="Times New Roman" w:cs="Times New Roman"/>
                      <w:sz w:val="24"/>
                      <w:szCs w:val="24"/>
                      <w:vertAlign w:val="superscript"/>
                    </w:rPr>
                    <w:t>13</w:t>
                  </w:r>
                  <w:r w:rsidRPr="550048A4">
                    <w:rPr>
                      <w:rFonts w:ascii="Times New Roman" w:hAnsi="Times New Roman" w:cs="Times New Roman"/>
                      <w:sz w:val="24"/>
                      <w:szCs w:val="24"/>
                    </w:rPr>
                    <w:t>:</w:t>
                  </w:r>
                </w:p>
                <w:p w14:paraId="2FAA82D0"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 Zemgales reģions</w:t>
                  </w:r>
                </w:p>
                <w:p w14:paraId="3B692208"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55 %</w:t>
                  </w:r>
                </w:p>
                <w:p w14:paraId="4B4B56C9"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5 %</w:t>
                  </w:r>
                </w:p>
                <w:p w14:paraId="244D3A9B"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 Kurzemes reģions</w:t>
                  </w:r>
                </w:p>
                <w:p w14:paraId="41CE2121"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56 %</w:t>
                  </w:r>
                </w:p>
                <w:p w14:paraId="1BD9BA25"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4 %</w:t>
                  </w:r>
                </w:p>
                <w:p w14:paraId="0AC6D80A"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 Latgales reģions</w:t>
                  </w:r>
                </w:p>
                <w:p w14:paraId="095AACC3"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53 %</w:t>
                  </w:r>
                </w:p>
                <w:p w14:paraId="76A25FFF"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3 %</w:t>
                  </w:r>
                </w:p>
                <w:p w14:paraId="4E49AB74"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 Vidzemes reģions</w:t>
                  </w:r>
                </w:p>
                <w:p w14:paraId="7B4357AE"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54 %</w:t>
                  </w:r>
                </w:p>
                <w:p w14:paraId="6187A68B"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2 %</w:t>
                  </w:r>
                </w:p>
                <w:p w14:paraId="2C0D17E9"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 Pierīgas reģions</w:t>
                  </w:r>
                </w:p>
                <w:p w14:paraId="0D5B1153"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59 %</w:t>
                  </w:r>
                </w:p>
                <w:p w14:paraId="79B46228"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3 %</w:t>
                  </w:r>
                </w:p>
                <w:p w14:paraId="1826A3E7" w14:textId="77777777" w:rsidR="006A3D72" w:rsidRPr="00117771" w:rsidRDefault="006A3D72" w:rsidP="00F72E46">
                  <w:pPr>
                    <w:spacing w:after="0" w:line="240" w:lineRule="auto"/>
                    <w:jc w:val="both"/>
                    <w:rPr>
                      <w:rFonts w:ascii="Times New Roman" w:hAnsi="Times New Roman" w:cs="Times New Roman"/>
                      <w:b/>
                      <w:sz w:val="24"/>
                      <w:szCs w:val="24"/>
                    </w:rPr>
                  </w:pPr>
                  <w:r w:rsidRPr="550048A4">
                    <w:rPr>
                      <w:rFonts w:ascii="Times New Roman" w:hAnsi="Times New Roman" w:cs="Times New Roman"/>
                      <w:b/>
                      <w:sz w:val="24"/>
                      <w:szCs w:val="24"/>
                    </w:rPr>
                    <w:t>Vidējie rādītāji:</w:t>
                  </w:r>
                </w:p>
                <w:p w14:paraId="1D6A82B4"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Vieglais auto – 55,4 %</w:t>
                  </w:r>
                </w:p>
                <w:p w14:paraId="1A24E632"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Sabiedriskais transports – 3,4 %</w:t>
                  </w:r>
                </w:p>
                <w:p w14:paraId="149FC57D"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Viena pacienta vidējais nobraukto km apjoms, dodoties vizītē pie ārsta (aprēķins veikts, par pamatu ņemot vidējo aprēķinu), – 29 km</w:t>
                  </w:r>
                </w:p>
                <w:p w14:paraId="5067FE29" w14:textId="124BB378"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Viena km vidējās izmaksas, braucot ar auto</w:t>
                  </w:r>
                  <w:r w:rsidRPr="550048A4">
                    <w:rPr>
                      <w:rFonts w:ascii="Times New Roman" w:hAnsi="Times New Roman" w:cs="Times New Roman"/>
                      <w:sz w:val="24"/>
                      <w:szCs w:val="24"/>
                      <w:vertAlign w:val="superscript"/>
                    </w:rPr>
                    <w:t>14</w:t>
                  </w:r>
                  <w:r w:rsidRPr="550048A4">
                    <w:rPr>
                      <w:rFonts w:ascii="Times New Roman" w:hAnsi="Times New Roman" w:cs="Times New Roman"/>
                      <w:sz w:val="24"/>
                      <w:szCs w:val="24"/>
                    </w:rPr>
                    <w:t>, – 0,16 </w:t>
                  </w:r>
                  <w:r w:rsidRPr="550048A4">
                    <w:rPr>
                      <w:rFonts w:ascii="Times New Roman" w:hAnsi="Times New Roman" w:cs="Times New Roman"/>
                      <w:i/>
                      <w:sz w:val="24"/>
                      <w:szCs w:val="24"/>
                    </w:rPr>
                    <w:t>euro</w:t>
                  </w:r>
                </w:p>
                <w:p w14:paraId="408E5C1D"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Viena km vidējās izmaksas, braucot ar sabiedrisko transportu</w:t>
                  </w:r>
                  <w:r w:rsidRPr="550048A4">
                    <w:rPr>
                      <w:rFonts w:ascii="Times New Roman" w:hAnsi="Times New Roman" w:cs="Times New Roman"/>
                      <w:sz w:val="24"/>
                      <w:szCs w:val="24"/>
                      <w:vertAlign w:val="superscript"/>
                    </w:rPr>
                    <w:t>15</w:t>
                  </w:r>
                  <w:r w:rsidRPr="550048A4">
                    <w:rPr>
                      <w:rFonts w:ascii="Times New Roman" w:hAnsi="Times New Roman" w:cs="Times New Roman"/>
                      <w:sz w:val="24"/>
                      <w:szCs w:val="24"/>
                    </w:rPr>
                    <w:t>, – 0,05 </w:t>
                  </w:r>
                  <w:r w:rsidRPr="550048A4">
                    <w:rPr>
                      <w:rFonts w:ascii="Times New Roman" w:hAnsi="Times New Roman" w:cs="Times New Roman"/>
                      <w:i/>
                      <w:sz w:val="24"/>
                      <w:szCs w:val="24"/>
                    </w:rPr>
                    <w:t>euro</w:t>
                  </w:r>
                </w:p>
                <w:p w14:paraId="3070899F" w14:textId="6FC2BECB"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b/>
                      <w:sz w:val="24"/>
                      <w:szCs w:val="24"/>
                    </w:rPr>
                    <w:t>Ieguvums no</w:t>
                  </w:r>
                  <w:r w:rsidRPr="550048A4">
                    <w:rPr>
                      <w:rFonts w:ascii="Times New Roman" w:hAnsi="Times New Roman" w:cs="Times New Roman"/>
                      <w:sz w:val="24"/>
                      <w:szCs w:val="24"/>
                    </w:rPr>
                    <w:t> </w:t>
                  </w:r>
                  <w:r w:rsidRPr="550048A4">
                    <w:rPr>
                      <w:rFonts w:ascii="Times New Roman" w:hAnsi="Times New Roman" w:cs="Times New Roman"/>
                      <w:b/>
                      <w:sz w:val="24"/>
                      <w:szCs w:val="24"/>
                    </w:rPr>
                    <w:t>elektroniskas datu apmaiņas vienā gadā – 56 600,00 </w:t>
                  </w:r>
                  <w:r w:rsidRPr="550048A4">
                    <w:rPr>
                      <w:rFonts w:ascii="Times New Roman" w:hAnsi="Times New Roman" w:cs="Times New Roman"/>
                      <w:b/>
                      <w:i/>
                      <w:sz w:val="24"/>
                      <w:szCs w:val="24"/>
                    </w:rPr>
                    <w:t>euro</w:t>
                  </w:r>
                </w:p>
                <w:p w14:paraId="685C5E5E" w14:textId="132C82D8" w:rsidR="006A3D72" w:rsidRPr="00117771" w:rsidRDefault="006A3D72" w:rsidP="00F72E46">
                  <w:pPr>
                    <w:spacing w:after="0" w:line="240" w:lineRule="auto"/>
                    <w:jc w:val="both"/>
                    <w:rPr>
                      <w:rFonts w:ascii="Times New Roman" w:hAnsi="Times New Roman" w:cs="Times New Roman"/>
                      <w:b/>
                      <w:sz w:val="24"/>
                      <w:szCs w:val="24"/>
                    </w:rPr>
                  </w:pPr>
                  <w:r w:rsidRPr="550048A4">
                    <w:rPr>
                      <w:rFonts w:ascii="Times New Roman" w:hAnsi="Times New Roman" w:cs="Times New Roman"/>
                      <w:b/>
                      <w:sz w:val="24"/>
                      <w:szCs w:val="24"/>
                    </w:rPr>
                    <w:t>Ieguvums no elektroniskas datu apmaiņas piecos gados – 282 900,00 </w:t>
                  </w:r>
                  <w:r w:rsidRPr="550048A4">
                    <w:rPr>
                      <w:rFonts w:ascii="Times New Roman" w:hAnsi="Times New Roman" w:cs="Times New Roman"/>
                      <w:b/>
                      <w:i/>
                      <w:sz w:val="24"/>
                      <w:szCs w:val="24"/>
                    </w:rPr>
                    <w:t>euro</w:t>
                  </w:r>
                </w:p>
                <w:p w14:paraId="3A9D3289" w14:textId="77777777"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Plānotais sociālekonomiskais ieguvums, pilnveidojot KUS savstarpējo datu apmaiņu:</w:t>
                  </w:r>
                </w:p>
                <w:p w14:paraId="3BA88B4F" w14:textId="3CBD6A96"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vienā gadā – 6 681 600,00 </w:t>
                  </w:r>
                  <w:r w:rsidRPr="550048A4">
                    <w:rPr>
                      <w:rFonts w:ascii="Times New Roman" w:hAnsi="Times New Roman" w:cs="Times New Roman"/>
                      <w:i/>
                      <w:sz w:val="24"/>
                      <w:szCs w:val="24"/>
                    </w:rPr>
                    <w:t>euro</w:t>
                  </w:r>
                </w:p>
                <w:p w14:paraId="4BF531DC" w14:textId="1DE6D81B" w:rsidR="006A3D72" w:rsidRPr="00117771"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piecos gados – 33 409 200,00 </w:t>
                  </w:r>
                  <w:r w:rsidRPr="550048A4">
                    <w:rPr>
                      <w:rFonts w:ascii="Times New Roman" w:hAnsi="Times New Roman" w:cs="Times New Roman"/>
                      <w:i/>
                      <w:sz w:val="24"/>
                      <w:szCs w:val="24"/>
                    </w:rPr>
                    <w:t>euro</w:t>
                  </w:r>
                </w:p>
                <w:p w14:paraId="1886AECC" w14:textId="77777777" w:rsidR="006A3D72" w:rsidRPr="00F72E46" w:rsidRDefault="006A3D72" w:rsidP="00F72E46">
                  <w:pPr>
                    <w:spacing w:after="0" w:line="240" w:lineRule="auto"/>
                    <w:jc w:val="both"/>
                    <w:rPr>
                      <w:rFonts w:ascii="Times New Roman" w:hAnsi="Times New Roman" w:cs="Times New Roman"/>
                      <w:sz w:val="24"/>
                      <w:szCs w:val="24"/>
                    </w:rPr>
                  </w:pPr>
                  <w:r w:rsidRPr="550048A4">
                    <w:rPr>
                      <w:rFonts w:ascii="Times New Roman" w:hAnsi="Times New Roman" w:cs="Times New Roman"/>
                      <w:sz w:val="24"/>
                      <w:szCs w:val="24"/>
                    </w:rPr>
                    <w:t>Pakalpojumu pieejamība, blīvāks pakalpojumu noslogojums</w:t>
                  </w:r>
                </w:p>
              </w:tc>
            </w:tr>
          </w:tbl>
          <w:p w14:paraId="6C16AF94" w14:textId="77777777" w:rsidR="006A3D72" w:rsidRPr="00F72E46" w:rsidRDefault="006A3D72" w:rsidP="00005CE3">
            <w:pPr>
              <w:spacing w:before="120" w:after="120" w:line="240" w:lineRule="auto"/>
              <w:jc w:val="both"/>
              <w:rPr>
                <w:rFonts w:ascii="Times New Roman" w:hAnsi="Times New Roman" w:cs="Times New Roman"/>
                <w:b/>
                <w:bCs/>
                <w:sz w:val="24"/>
                <w:szCs w:val="24"/>
              </w:rPr>
            </w:pPr>
            <w:r w:rsidRPr="00F72E46">
              <w:rPr>
                <w:rFonts w:ascii="Times New Roman" w:hAnsi="Times New Roman" w:cs="Times New Roman"/>
                <w:b/>
                <w:bCs/>
                <w:sz w:val="24"/>
                <w:szCs w:val="24"/>
              </w:rPr>
              <w:t>8. Cita būtiska informācija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50"/>
            </w:tblGrid>
            <w:tr w:rsidR="006A3D72" w:rsidRPr="00F72E46" w14:paraId="247594D3" w14:textId="77777777" w:rsidTr="0E4A4C0C">
              <w:tc>
                <w:tcPr>
                  <w:tcW w:w="8241" w:type="dxa"/>
                  <w:tcBorders>
                    <w:top w:val="outset" w:sz="6" w:space="0" w:color="414142"/>
                    <w:left w:val="outset" w:sz="6" w:space="0" w:color="414142"/>
                    <w:bottom w:val="outset" w:sz="6" w:space="0" w:color="414142"/>
                    <w:right w:val="outset" w:sz="6" w:space="0" w:color="414142"/>
                  </w:tcBorders>
                  <w:hideMark/>
                </w:tcPr>
                <w:p w14:paraId="3D5AB8CE"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1. Konceptuālā mērķa arhitektūra</w:t>
                  </w:r>
                </w:p>
                <w:p w14:paraId="6C076A97" w14:textId="54B975BA" w:rsidR="006A3D72" w:rsidRDefault="006A3D72" w:rsidP="0022349A">
                  <w:pPr>
                    <w:spacing w:after="0" w:line="240" w:lineRule="auto"/>
                    <w:jc w:val="both"/>
                    <w:rPr>
                      <w:rFonts w:ascii="Times New Roman" w:hAnsi="Times New Roman" w:cs="Times New Roman"/>
                      <w:sz w:val="24"/>
                      <w:szCs w:val="24"/>
                    </w:rPr>
                  </w:pPr>
                  <w:r>
                    <w:rPr>
                      <w:noProof/>
                    </w:rPr>
                    <w:drawing>
                      <wp:inline distT="0" distB="0" distL="0" distR="0" wp14:anchorId="3E90F7FD" wp14:editId="3C290463">
                        <wp:extent cx="5886450" cy="4152900"/>
                        <wp:effectExtent l="0" t="0" r="0" b="0"/>
                        <wp:docPr id="98540930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09308" name="Picture 985409308"/>
                                <pic:cNvPicPr/>
                              </pic:nvPicPr>
                              <pic:blipFill>
                                <a:blip r:embed="rId11">
                                  <a:extLst>
                                    <a:ext uri="{28A0092B-C50C-407E-A947-70E740481C1C}">
                                      <a14:useLocalDpi xmlns:a14="http://schemas.microsoft.com/office/drawing/2010/main"/>
                                    </a:ext>
                                  </a:extLst>
                                </a:blip>
                                <a:stretch>
                                  <a:fillRect/>
                                </a:stretch>
                              </pic:blipFill>
                              <pic:spPr>
                                <a:xfrm>
                                  <a:off x="0" y="0"/>
                                  <a:ext cx="5886450" cy="4152900"/>
                                </a:xfrm>
                                <a:prstGeom prst="rect">
                                  <a:avLst/>
                                </a:prstGeom>
                              </pic:spPr>
                            </pic:pic>
                          </a:graphicData>
                        </a:graphic>
                      </wp:inline>
                    </w:drawing>
                  </w:r>
                  <w:r w:rsidRPr="359AEA39">
                    <w:rPr>
                      <w:rFonts w:ascii="Times New Roman" w:hAnsi="Times New Roman" w:cs="Times New Roman"/>
                      <w:sz w:val="24"/>
                      <w:szCs w:val="24"/>
                    </w:rPr>
                    <w:t>IS Andromeda ar papildinātu funkcionalitāti kalpos kā onkoloģisko pacientu datu apmaiņas platforma (OPDP). Lai nodrošinātu OPDP funkcionalitāti, plānotas integrācijas ar DAGR u.</w:t>
                  </w:r>
                  <w:r w:rsidR="00A80B9E">
                    <w:rPr>
                      <w:rFonts w:ascii="Times New Roman" w:hAnsi="Times New Roman" w:cs="Times New Roman"/>
                      <w:sz w:val="24"/>
                      <w:szCs w:val="24"/>
                    </w:rPr>
                    <w:t xml:space="preserve"> </w:t>
                  </w:r>
                  <w:r w:rsidRPr="359AEA39">
                    <w:rPr>
                      <w:rFonts w:ascii="Times New Roman" w:hAnsi="Times New Roman" w:cs="Times New Roman"/>
                      <w:sz w:val="24"/>
                      <w:szCs w:val="24"/>
                    </w:rPr>
                    <w:t>c. IS atbilstoši KUS likumdošanā pieejamajiem datiem. VIRSIS tiks izmantots, lai nodrošinātu piekļuves tiesības DAGR datu kopām. Latvijas atvērto datu portāls (ADP) tiks izmantots, lai publicētu OPDP atvērto datu kopas.</w:t>
                  </w:r>
                </w:p>
                <w:p w14:paraId="35093323" w14:textId="0FDE7F0C" w:rsidR="006A3D72" w:rsidRDefault="006A3D72" w:rsidP="0022349A">
                  <w:pPr>
                    <w:spacing w:after="0" w:line="240" w:lineRule="auto"/>
                    <w:jc w:val="both"/>
                    <w:rPr>
                      <w:rFonts w:ascii="Times New Roman" w:hAnsi="Times New Roman" w:cs="Times New Roman"/>
                      <w:sz w:val="24"/>
                      <w:szCs w:val="24"/>
                    </w:rPr>
                  </w:pPr>
                </w:p>
                <w:p w14:paraId="630F69AD" w14:textId="450A9006" w:rsidR="006A3D72" w:rsidRDefault="006A3D72" w:rsidP="00F72E46">
                  <w:pPr>
                    <w:spacing w:after="0" w:line="240" w:lineRule="auto"/>
                    <w:jc w:val="both"/>
                    <w:rPr>
                      <w:rFonts w:ascii="Times New Roman" w:hAnsi="Times New Roman" w:cs="Times New Roman"/>
                      <w:sz w:val="24"/>
                      <w:szCs w:val="24"/>
                    </w:rPr>
                  </w:pPr>
                  <w:bookmarkStart w:id="3" w:name="_Hlk196396267"/>
                  <w:r w:rsidRPr="0E4A4C0C">
                    <w:rPr>
                      <w:rFonts w:ascii="Times New Roman" w:hAnsi="Times New Roman" w:cs="Times New Roman"/>
                      <w:sz w:val="24"/>
                      <w:szCs w:val="24"/>
                    </w:rPr>
                    <w:t>2. Prognozētās uzturēšanas izmaksas – 20 % no kapitālieguldījumiem programmatūras izstrādē, t. i., 2 071 353,31 x 0,20 = 414 270</w:t>
                  </w:r>
                  <w:r w:rsidR="00AA5D12">
                    <w:rPr>
                      <w:rFonts w:ascii="Times New Roman" w:hAnsi="Times New Roman" w:cs="Times New Roman"/>
                      <w:sz w:val="24"/>
                      <w:szCs w:val="24"/>
                    </w:rPr>
                    <w:t>,</w:t>
                  </w:r>
                  <w:r w:rsidRPr="0E4A4C0C">
                    <w:rPr>
                      <w:rFonts w:ascii="Times New Roman" w:hAnsi="Times New Roman" w:cs="Times New Roman"/>
                      <w:sz w:val="24"/>
                      <w:szCs w:val="24"/>
                    </w:rPr>
                    <w:t>66 </w:t>
                  </w:r>
                  <w:r w:rsidRPr="0E4A4C0C">
                    <w:rPr>
                      <w:rFonts w:ascii="Times New Roman" w:hAnsi="Times New Roman" w:cs="Times New Roman"/>
                      <w:i/>
                      <w:iCs/>
                      <w:sz w:val="24"/>
                      <w:szCs w:val="24"/>
                    </w:rPr>
                    <w:t>euro</w:t>
                  </w:r>
                  <w:r w:rsidRPr="0E4A4C0C">
                    <w:rPr>
                      <w:rFonts w:ascii="Times New Roman" w:hAnsi="Times New Roman" w:cs="Times New Roman"/>
                      <w:sz w:val="24"/>
                      <w:szCs w:val="24"/>
                    </w:rPr>
                    <w:t>/gadā.</w:t>
                  </w:r>
                </w:p>
                <w:p w14:paraId="6583730B" w14:textId="77777777" w:rsidR="006A3D72" w:rsidRPr="00E11F90" w:rsidRDefault="006A3D72" w:rsidP="00E11F90">
                  <w:pPr>
                    <w:spacing w:after="0" w:line="240" w:lineRule="auto"/>
                    <w:jc w:val="both"/>
                    <w:rPr>
                      <w:rFonts w:ascii="Times New Roman" w:hAnsi="Times New Roman" w:cs="Times New Roman"/>
                      <w:sz w:val="24"/>
                      <w:szCs w:val="24"/>
                    </w:rPr>
                  </w:pPr>
                  <w:r w:rsidRPr="00E11F90">
                    <w:rPr>
                      <w:rFonts w:ascii="Times New Roman" w:hAnsi="Times New Roman" w:cs="Times New Roman"/>
                      <w:sz w:val="24"/>
                      <w:szCs w:val="24"/>
                    </w:rPr>
                    <w:t>Ņemot vērā, ka projekts noslēdzas 2026. gada 31. maijā, uzturēšanas izmaksas pa gadiem ir plānotas proporcionāli faktiskajam uzturēšanas periodam:</w:t>
                  </w:r>
                </w:p>
                <w:p w14:paraId="7EE166AE" w14:textId="77777777" w:rsidR="006A3D72" w:rsidRPr="00E11F90" w:rsidRDefault="006A3D72" w:rsidP="00E11F90">
                  <w:pPr>
                    <w:spacing w:after="0" w:line="240" w:lineRule="auto"/>
                    <w:jc w:val="both"/>
                    <w:rPr>
                      <w:rFonts w:ascii="Times New Roman" w:hAnsi="Times New Roman" w:cs="Times New Roman"/>
                      <w:sz w:val="24"/>
                      <w:szCs w:val="24"/>
                    </w:rPr>
                  </w:pPr>
                </w:p>
                <w:p w14:paraId="282D1175" w14:textId="237E3629" w:rsidR="006A3D72" w:rsidRPr="00E11F90" w:rsidRDefault="006A3D72" w:rsidP="00E11F90">
                  <w:pPr>
                    <w:spacing w:after="0" w:line="240" w:lineRule="auto"/>
                    <w:jc w:val="both"/>
                    <w:rPr>
                      <w:rFonts w:ascii="Times New Roman" w:hAnsi="Times New Roman" w:cs="Times New Roman"/>
                      <w:sz w:val="24"/>
                      <w:szCs w:val="24"/>
                    </w:rPr>
                  </w:pPr>
                  <w:r w:rsidRPr="00E11F90">
                    <w:rPr>
                      <w:rFonts w:ascii="Times New Roman" w:hAnsi="Times New Roman" w:cs="Times New Roman"/>
                      <w:sz w:val="24"/>
                      <w:szCs w:val="24"/>
                    </w:rPr>
                    <w:t>2026. gadā – 207</w:t>
                  </w:r>
                  <w:r>
                    <w:rPr>
                      <w:rFonts w:ascii="Times New Roman" w:hAnsi="Times New Roman" w:cs="Times New Roman"/>
                      <w:sz w:val="24"/>
                      <w:szCs w:val="24"/>
                    </w:rPr>
                    <w:t> </w:t>
                  </w:r>
                  <w:r w:rsidRPr="00E11F90">
                    <w:rPr>
                      <w:rFonts w:ascii="Times New Roman" w:hAnsi="Times New Roman" w:cs="Times New Roman"/>
                      <w:sz w:val="24"/>
                      <w:szCs w:val="24"/>
                    </w:rPr>
                    <w:t>135</w:t>
                  </w:r>
                  <w:r>
                    <w:rPr>
                      <w:rFonts w:ascii="Times New Roman" w:hAnsi="Times New Roman" w:cs="Times New Roman"/>
                      <w:sz w:val="24"/>
                      <w:szCs w:val="24"/>
                    </w:rPr>
                    <w:t>,</w:t>
                  </w:r>
                  <w:r w:rsidRPr="05DC6C4A">
                    <w:rPr>
                      <w:rFonts w:ascii="Times New Roman" w:hAnsi="Times New Roman" w:cs="Times New Roman"/>
                      <w:sz w:val="24"/>
                      <w:szCs w:val="24"/>
                    </w:rPr>
                    <w:t>33</w:t>
                  </w:r>
                  <w:r w:rsidRPr="00E11F90">
                    <w:rPr>
                      <w:rFonts w:ascii="Times New Roman" w:hAnsi="Times New Roman" w:cs="Times New Roman"/>
                      <w:sz w:val="24"/>
                      <w:szCs w:val="24"/>
                    </w:rPr>
                    <w:t xml:space="preserve"> EUR;</w:t>
                  </w:r>
                </w:p>
                <w:p w14:paraId="64036CE0" w14:textId="3BF098FD" w:rsidR="006A3D72" w:rsidRPr="00E11F90" w:rsidRDefault="006A3D72" w:rsidP="00E11F90">
                  <w:pPr>
                    <w:spacing w:after="0" w:line="240" w:lineRule="auto"/>
                    <w:jc w:val="both"/>
                    <w:rPr>
                      <w:rFonts w:ascii="Times New Roman" w:hAnsi="Times New Roman" w:cs="Times New Roman"/>
                      <w:sz w:val="24"/>
                      <w:szCs w:val="24"/>
                    </w:rPr>
                  </w:pPr>
                  <w:r w:rsidRPr="00E11F90">
                    <w:rPr>
                      <w:rFonts w:ascii="Times New Roman" w:hAnsi="Times New Roman" w:cs="Times New Roman"/>
                      <w:sz w:val="24"/>
                      <w:szCs w:val="24"/>
                    </w:rPr>
                    <w:t>2027.–2030. gadā – 414 270,</w:t>
                  </w:r>
                  <w:r w:rsidRPr="05DC6C4A">
                    <w:rPr>
                      <w:rFonts w:ascii="Times New Roman" w:hAnsi="Times New Roman" w:cs="Times New Roman"/>
                      <w:sz w:val="24"/>
                      <w:szCs w:val="24"/>
                    </w:rPr>
                    <w:t>66</w:t>
                  </w:r>
                  <w:r w:rsidRPr="00E11F90">
                    <w:rPr>
                      <w:rFonts w:ascii="Times New Roman" w:hAnsi="Times New Roman" w:cs="Times New Roman"/>
                      <w:sz w:val="24"/>
                      <w:szCs w:val="24"/>
                    </w:rPr>
                    <w:t xml:space="preserve"> EUR gadā;</w:t>
                  </w:r>
                </w:p>
                <w:p w14:paraId="7274B021" w14:textId="1829F070" w:rsidR="006A3D72" w:rsidRDefault="006A3D72" w:rsidP="00E11F90">
                  <w:pPr>
                    <w:spacing w:after="0" w:line="240" w:lineRule="auto"/>
                    <w:jc w:val="both"/>
                    <w:rPr>
                      <w:rFonts w:ascii="Times New Roman" w:hAnsi="Times New Roman" w:cs="Times New Roman"/>
                      <w:sz w:val="24"/>
                      <w:szCs w:val="24"/>
                    </w:rPr>
                  </w:pPr>
                  <w:r w:rsidRPr="00E11F90">
                    <w:rPr>
                      <w:rFonts w:ascii="Times New Roman" w:hAnsi="Times New Roman" w:cs="Times New Roman"/>
                      <w:sz w:val="24"/>
                      <w:szCs w:val="24"/>
                    </w:rPr>
                    <w:t>2031. gadā – 207</w:t>
                  </w:r>
                  <w:r>
                    <w:rPr>
                      <w:rFonts w:ascii="Times New Roman" w:hAnsi="Times New Roman" w:cs="Times New Roman"/>
                      <w:sz w:val="24"/>
                      <w:szCs w:val="24"/>
                    </w:rPr>
                    <w:t> </w:t>
                  </w:r>
                  <w:r w:rsidRPr="00E11F90">
                    <w:rPr>
                      <w:rFonts w:ascii="Times New Roman" w:hAnsi="Times New Roman" w:cs="Times New Roman"/>
                      <w:sz w:val="24"/>
                      <w:szCs w:val="24"/>
                    </w:rPr>
                    <w:t>135</w:t>
                  </w:r>
                  <w:r>
                    <w:rPr>
                      <w:rFonts w:ascii="Times New Roman" w:hAnsi="Times New Roman" w:cs="Times New Roman"/>
                      <w:sz w:val="24"/>
                      <w:szCs w:val="24"/>
                    </w:rPr>
                    <w:t>,</w:t>
                  </w:r>
                  <w:r w:rsidRPr="05DC6C4A">
                    <w:rPr>
                      <w:rFonts w:ascii="Times New Roman" w:hAnsi="Times New Roman" w:cs="Times New Roman"/>
                      <w:sz w:val="24"/>
                      <w:szCs w:val="24"/>
                    </w:rPr>
                    <w:t>33</w:t>
                  </w:r>
                  <w:r w:rsidRPr="00E11F90">
                    <w:rPr>
                      <w:rFonts w:ascii="Times New Roman" w:hAnsi="Times New Roman" w:cs="Times New Roman"/>
                      <w:sz w:val="24"/>
                      <w:szCs w:val="24"/>
                    </w:rPr>
                    <w:t xml:space="preserve"> EUR.</w:t>
                  </w:r>
                </w:p>
                <w:p w14:paraId="56640699" w14:textId="77777777" w:rsidR="006A3D72" w:rsidRPr="00E11F90" w:rsidRDefault="006A3D72" w:rsidP="00E11F90">
                  <w:pPr>
                    <w:spacing w:after="0" w:line="240" w:lineRule="auto"/>
                    <w:jc w:val="both"/>
                    <w:rPr>
                      <w:rFonts w:ascii="Times New Roman" w:hAnsi="Times New Roman" w:cs="Times New Roman"/>
                      <w:sz w:val="24"/>
                      <w:szCs w:val="24"/>
                    </w:rPr>
                  </w:pPr>
                </w:p>
                <w:p w14:paraId="1DD2DF04" w14:textId="2081A108" w:rsidR="006A3D72" w:rsidRDefault="006A3D72" w:rsidP="00870F0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870F06">
                    <w:rPr>
                      <w:rFonts w:ascii="Times New Roman" w:hAnsi="Times New Roman" w:cs="Times New Roman"/>
                      <w:sz w:val="24"/>
                      <w:szCs w:val="24"/>
                    </w:rPr>
                    <w:t>rognozētās uzturēšanas izmaksas 20 % apmērā no kapitālieguldījumiem programmatūras izstrādē ir indikatīvs aprēķins, kas balstīts uz līdzšinējo praksi valsts pārvaldē līdzīgu informācijas sistēmu uzturēšanā un atspoguļo kopējās sistēmas ekspluatācijas izmaksas, nevis atsevišķa projekta personāla atlīdzību pēc projekta noslēguma.</w:t>
                  </w:r>
                </w:p>
                <w:p w14:paraId="62C23C8A" w14:textId="77777777" w:rsidR="006A3D72" w:rsidRPr="00870F06" w:rsidRDefault="006A3D72" w:rsidP="00870F06">
                  <w:pPr>
                    <w:spacing w:after="0" w:line="240" w:lineRule="auto"/>
                    <w:jc w:val="both"/>
                    <w:rPr>
                      <w:rFonts w:ascii="Times New Roman" w:hAnsi="Times New Roman" w:cs="Times New Roman"/>
                      <w:sz w:val="24"/>
                      <w:szCs w:val="24"/>
                    </w:rPr>
                  </w:pPr>
                </w:p>
                <w:p w14:paraId="3DC25540" w14:textId="7777777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Norādītajās uzturēšanas izmaksās ietilpst:</w:t>
                  </w:r>
                </w:p>
                <w:p w14:paraId="634D45F3" w14:textId="414415DD"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pēc projekta noslēguma informācijas sistēmu tehniskā uzturēšana un administrēšana, tai skaitā sistēmu darbības uzraudzība, konfigurāciju pārvaldība un darbības nepārtrauktības nodrošināšana tiks nodrošināta, izmantojot esošos iekšējos Slimnīcu un partneru IT resursus, atbilstoši to kompetencei un pienākumiem.</w:t>
                  </w:r>
                </w:p>
                <w:p w14:paraId="268162FB" w14:textId="6C079766"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iestādes pamatdarbības ietvaros nodarbinātā IT personāla darba laika izmaksu proporcija, kas saistīta ar sistēmas uzturēšanu, administrēšanu un darbības nepārtrauktības nodrošināšanu (piemēram, sistēmas administratoru, lietojumprogrammu uzturētāju, datubāzu administratoru un kiberdrošības speciālistu funkcijas);</w:t>
                  </w:r>
                </w:p>
                <w:p w14:paraId="4CBEF9A5" w14:textId="7A481545"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regulāri programmatūras atjauninājumi, drošības ielāpu ieviešana un versiju uzturēšana, lai nodrošinātu sistēmu drošu, stabilu un normatīvajām prasībām atbilstošu darbību;</w:t>
                  </w:r>
                </w:p>
                <w:p w14:paraId="557C0D33" w14:textId="3A64E39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kritiski sistēmu pielāgojumi, kas saistīti ar normatīvo aktu izmaiņām, kiberdrošības prasību izpildi vai savietojamības nodrošināšanu ar citām valsts informācijas sistēmām;</w:t>
                  </w:r>
                </w:p>
                <w:p w14:paraId="13134AB3" w14:textId="4B7BE482"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skaitļošanas un infrastruktūras resursu izmaksas, tostarp serveru jauda, datu glabāšana, rezerves kopēšana un un tehniskie risinājumi sistēmu pieejamības un darbībasa nepārtrauktības nodrošināšanai;</w:t>
                  </w:r>
                </w:p>
                <w:p w14:paraId="66258174" w14:textId="6AFA2218"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incidentu un traucējumu novēršana, tai skaitā sistēmu darbības atjaunošana un preventīvie pasākumi, lai mazinātu dīkstāves riskus</w:t>
                  </w:r>
                </w:p>
                <w:p w14:paraId="47E42378" w14:textId="7777777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Līdz ar to uzturēšanas izmaksu aprēķins atspoguļo organizatorisko un tehnisko resursu noslodzi sistēmas ekspluatācijas laikā, nevis jaunu vai projektu finansētu atalgojuma saistību rašanos pēc projekta pabeigšanas.</w:t>
                  </w:r>
                </w:p>
                <w:p w14:paraId="163194C1" w14:textId="77777777" w:rsidR="006A3D72" w:rsidRPr="00870F06" w:rsidRDefault="006A3D72" w:rsidP="00870F06">
                  <w:pPr>
                    <w:spacing w:after="0" w:line="240" w:lineRule="auto"/>
                    <w:jc w:val="both"/>
                    <w:rPr>
                      <w:rFonts w:ascii="Times New Roman" w:hAnsi="Times New Roman" w:cs="Times New Roman"/>
                      <w:sz w:val="24"/>
                      <w:szCs w:val="24"/>
                    </w:rPr>
                  </w:pPr>
                </w:p>
                <w:p w14:paraId="072461A5" w14:textId="7777777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Katrs no projekta partneriem (RAKUS, PSKUS, BKUS, SPKC) nodrošina savā pārziņā esošo informācijas sistēmu un to pielāgojumu uzturēšanu, LDVC nodrošina datu apmaiņas platformas uzturēšanu.</w:t>
                  </w:r>
                </w:p>
                <w:p w14:paraId="19C2ACE4" w14:textId="7777777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Uzturēšana ietver gan infrastruktūras uzturēšanu, gan informācijas sistēmu uzturēšanu.</w:t>
                  </w:r>
                </w:p>
                <w:p w14:paraId="3B660047" w14:textId="77777777" w:rsidR="006A3D72" w:rsidRPr="00870F06" w:rsidRDefault="006A3D72" w:rsidP="00870F06">
                  <w:pPr>
                    <w:spacing w:after="0" w:line="240" w:lineRule="auto"/>
                    <w:jc w:val="both"/>
                    <w:rPr>
                      <w:rFonts w:ascii="Times New Roman" w:hAnsi="Times New Roman" w:cs="Times New Roman"/>
                      <w:sz w:val="24"/>
                      <w:szCs w:val="24"/>
                    </w:rPr>
                  </w:pPr>
                  <w:r w:rsidRPr="00870F06">
                    <w:rPr>
                      <w:rFonts w:ascii="Times New Roman" w:hAnsi="Times New Roman" w:cs="Times New Roman"/>
                      <w:sz w:val="24"/>
                      <w:szCs w:val="24"/>
                    </w:rPr>
                    <w:t xml:space="preserve">Iesaistīto darbinieku amata vietas atalgojuma daļu (izteiktu procentos) paredzēts attiecināt uz projekta ietvaros izveidoto risinājumu uzturēšanu. </w:t>
                  </w:r>
                </w:p>
                <w:p w14:paraId="396EE48B" w14:textId="73EE3A7F" w:rsidR="006A3D72" w:rsidRPr="00870F06" w:rsidRDefault="006A3D72" w:rsidP="00870F06">
                  <w:pPr>
                    <w:spacing w:after="0" w:line="240" w:lineRule="auto"/>
                    <w:jc w:val="both"/>
                    <w:rPr>
                      <w:rFonts w:ascii="Times New Roman" w:hAnsi="Times New Roman" w:cs="Times New Roman"/>
                      <w:sz w:val="24"/>
                      <w:szCs w:val="24"/>
                    </w:rPr>
                  </w:pPr>
                </w:p>
                <w:p w14:paraId="716B9CBD" w14:textId="7C65902A" w:rsidR="006A3D72" w:rsidRPr="00F72E46" w:rsidRDefault="006A3D72" w:rsidP="00F72E46">
                  <w:pPr>
                    <w:spacing w:after="0" w:line="240" w:lineRule="auto"/>
                    <w:jc w:val="both"/>
                    <w:rPr>
                      <w:rFonts w:ascii="Times New Roman" w:hAnsi="Times New Roman" w:cs="Times New Roman"/>
                      <w:sz w:val="24"/>
                      <w:szCs w:val="24"/>
                    </w:rPr>
                  </w:pPr>
                </w:p>
                <w:bookmarkEnd w:id="3"/>
                <w:p w14:paraId="0EA640EC" w14:textId="18FAEEE1" w:rsidR="006A3D72" w:rsidRDefault="006A3D72" w:rsidP="00A143C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Pr="00A143C5">
                    <w:rPr>
                      <w:rFonts w:ascii="Times New Roman" w:eastAsia="Times New Roman" w:hAnsi="Times New Roman" w:cs="Times New Roman"/>
                      <w:sz w:val="24"/>
                      <w:szCs w:val="24"/>
                    </w:rPr>
                    <w:t>ekļauts</w:t>
                  </w:r>
                  <w:r w:rsidRPr="4CB7E02F">
                    <w:rPr>
                      <w:rFonts w:ascii="Times New Roman" w:eastAsia="Times New Roman" w:hAnsi="Times New Roman" w:cs="Times New Roman"/>
                      <w:sz w:val="24"/>
                      <w:szCs w:val="24"/>
                    </w:rPr>
                    <w:t xml:space="preserve"> papildu finansējuma pieprasījums 8 </w:t>
                  </w:r>
                  <w:r w:rsidRPr="00A143C5">
                    <w:rPr>
                      <w:rFonts w:ascii="Times New Roman" w:eastAsia="Times New Roman" w:hAnsi="Times New Roman" w:cs="Times New Roman"/>
                      <w:sz w:val="24"/>
                      <w:szCs w:val="24"/>
                    </w:rPr>
                    <w:t>102</w:t>
                  </w:r>
                  <w:r w:rsidR="00A80B9E">
                    <w:rPr>
                      <w:rFonts w:ascii="Times New Roman" w:eastAsia="Times New Roman" w:hAnsi="Times New Roman" w:cs="Times New Roman"/>
                      <w:sz w:val="24"/>
                      <w:szCs w:val="24"/>
                    </w:rPr>
                    <w:t>,</w:t>
                  </w:r>
                  <w:r w:rsidRPr="00A143C5">
                    <w:rPr>
                      <w:rFonts w:ascii="Times New Roman" w:eastAsia="Times New Roman" w:hAnsi="Times New Roman" w:cs="Times New Roman"/>
                      <w:sz w:val="24"/>
                      <w:szCs w:val="24"/>
                    </w:rPr>
                    <w:t>12</w:t>
                  </w:r>
                  <w:r w:rsidRPr="4CB7E02F">
                    <w:rPr>
                      <w:rFonts w:ascii="Times New Roman" w:eastAsia="Times New Roman" w:hAnsi="Times New Roman" w:cs="Times New Roman"/>
                      <w:sz w:val="24"/>
                      <w:szCs w:val="24"/>
                    </w:rPr>
                    <w:t xml:space="preserve"> EUR apmērā no valsts budžeta, lai segtu radušās reversā PVN izmaksas par saņemtajiem pakalpojumiem.</w:t>
                  </w:r>
                  <w:r>
                    <w:rPr>
                      <w:rFonts w:ascii="Times New Roman" w:eastAsia="Times New Roman" w:hAnsi="Times New Roman" w:cs="Times New Roman"/>
                      <w:sz w:val="24"/>
                      <w:szCs w:val="24"/>
                    </w:rPr>
                    <w:t xml:space="preserve"> </w:t>
                  </w:r>
                </w:p>
                <w:p w14:paraId="3821F1DB" w14:textId="77777777" w:rsidR="00A80B9E" w:rsidRDefault="00A80B9E" w:rsidP="00A143C5">
                  <w:pPr>
                    <w:spacing w:after="0" w:line="240" w:lineRule="auto"/>
                    <w:jc w:val="both"/>
                    <w:rPr>
                      <w:rFonts w:ascii="Times New Roman" w:eastAsia="Times New Roman" w:hAnsi="Times New Roman" w:cs="Times New Roman"/>
                      <w:sz w:val="24"/>
                      <w:szCs w:val="24"/>
                    </w:rPr>
                  </w:pPr>
                </w:p>
                <w:p w14:paraId="615600AA" w14:textId="1C88469E"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3. Pamatojoties uz Ministru kabineta 2022. gada 6. jūlija rīkojumā Nr. 493 "Par Veselības aprūpes pakalpojumu uzlabošanas plānu onkoloģijas jomā 2022.–2024. gadam" norādīto, ka lielākā onkoloģijas pacientu plūsma ir RAKUS Latvijas Onkoloģijas centrā (tajā katru gadu ārstējas apmēram 80 % no visiem onkoloģijas pacientiem), RAKUS ir noteikta par jaunā Vēža centra veidotāju.</w:t>
                  </w:r>
                </w:p>
                <w:p w14:paraId="3B646C66" w14:textId="1DE72FCB"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Saskaņā ar Ministru kabineta 2022. gada 6. decembra noteikumiem Nr. 760 "</w:t>
                  </w:r>
                  <w:hyperlink r:id="rId12" w:tgtFrame="_blank" w:history="1">
                    <w:r w:rsidRPr="00005CE3">
                      <w:rPr>
                        <w:rStyle w:val="Hyperlink"/>
                        <w:rFonts w:ascii="Times New Roman" w:hAnsi="Times New Roman" w:cs="Times New Roman"/>
                        <w:color w:val="auto"/>
                        <w:sz w:val="24"/>
                        <w:szCs w:val="24"/>
                        <w:u w:val="none"/>
                      </w:rPr>
                      <w:t>Eiropas Savienības Atveseļošanas un noturības mehānisma plāna 4.1.1.r. reformas "Uz cilvēku centrētas, visaptverošas, integrētas veselības aprūpes sistēmas ilgtspēja un noturība" atskaites punkta "Nodrošināt metodisko vadību onkoloģijas jomā" īstenošanas noteikumi</w:t>
                    </w:r>
                  </w:hyperlink>
                  <w:r w:rsidRPr="00F72E46">
                    <w:rPr>
                      <w:rFonts w:ascii="Times New Roman" w:hAnsi="Times New Roman" w:cs="Times New Roman"/>
                      <w:sz w:val="24"/>
                      <w:szCs w:val="24"/>
                    </w:rPr>
                    <w:t>" RAKUS ir noteikta par projekta īstenotāju reformas atskaites punkta mērķu īstenošanai onkoloģijas jomā, partnerībā ar projekta īstenošanas partneriem PSKUS un BKUS izveidojot visu Latvijā esošo klīnisko universitāšu slimnīcu partnerību. Līdz ar to apliecinām, ka projekta ietvaros netiks sniegts atbalsts komercdarbībai, bet tiks īstenots valsts deleģētais uzdevums onkoloģijas jomā.</w:t>
                  </w:r>
                </w:p>
                <w:p w14:paraId="169F5B73" w14:textId="1F0D9FA6" w:rsidR="006A3D72"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Veselības ministrija atbilstoši tās nolikumā noteiktajām funkcijām izstrādā veselības politiku, kā arī organizē un koordinē veselības politikas īstenošanu. Veselības nozares valsts informācijas sistēmas ir līdzeklis, lai nodrošinātu sekmīgu minēto funkciju izpildi onkoloģijas jomā. Projekts ir daļa no valsts veselības aprūpes digitalizācijas procesa, kura mērķis ir izveidot veselības nozares informācijas sistēmu e-veselības IS (tās izstrāde jau ir uzsākta, šobrīd īstenojot dažādas vienotas valsts veselības informācijas sistēmas komponentes, piemēram, elektroniskās veselības kartes un integrācijas platformas informācijas sistēmas izveidi), un daļa no valsts integrācijas platformas, un tas tiek īstenots kā daļa no veselības nozares sabiedrības veselības portāla izveides procesa.</w:t>
                  </w:r>
                </w:p>
                <w:p w14:paraId="3171D82D" w14:textId="77777777" w:rsidR="00A80B9E" w:rsidRPr="00F72E46" w:rsidRDefault="00A80B9E" w:rsidP="00F72E46">
                  <w:pPr>
                    <w:spacing w:after="0" w:line="240" w:lineRule="auto"/>
                    <w:jc w:val="both"/>
                    <w:rPr>
                      <w:rFonts w:ascii="Times New Roman" w:hAnsi="Times New Roman" w:cs="Times New Roman"/>
                      <w:sz w:val="24"/>
                      <w:szCs w:val="24"/>
                    </w:rPr>
                  </w:pPr>
                </w:p>
                <w:p w14:paraId="7A840ECF" w14:textId="4BFE7C81" w:rsidR="006A3D72"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4. Pēc projekta beigām paredzēta datu bezmaksas nodošana uz e-veselības IS atbilstoši e-veselības IS gatavībai un iespējām. Tādējādi tiktu nodrošināta onkoloģijas pacientu datu bezmaksas pieejamība ikvienai ārstniecības iestādei, kam LDVC būs piešķīris piekļuvi e-veselības IS ar atbilstošām lietotāja piekļuves tiesībām. Valsts veselības aprūpes jomā izveidotā e-veselības IS ir strukturizēts informācijas tehnoloģijas un datubāzu kopums, kuru lietojot tiek nodrošināta valsts funkciju izpildei nepieciešamās informācijas apstrāde. Datu apstrāde ir nepieciešama, pildot valsts pārvaldes funkcijas, jo turpmāk valsts informācijas sistēmu reģistri nodrošinās jebkuram interesentam iespēju vienkopus iegūt informāciju atbilstoši normatīvajos aktos noteiktajām tiesībām.</w:t>
                  </w:r>
                </w:p>
                <w:p w14:paraId="4B5673F6" w14:textId="77777777" w:rsidR="00A80B9E" w:rsidRPr="00F72E46" w:rsidRDefault="00A80B9E" w:rsidP="00F72E46">
                  <w:pPr>
                    <w:spacing w:after="0" w:line="240" w:lineRule="auto"/>
                    <w:jc w:val="both"/>
                    <w:rPr>
                      <w:rFonts w:ascii="Times New Roman" w:hAnsi="Times New Roman" w:cs="Times New Roman"/>
                      <w:sz w:val="24"/>
                      <w:szCs w:val="24"/>
                    </w:rPr>
                  </w:pPr>
                </w:p>
                <w:p w14:paraId="373918B4" w14:textId="77777777"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5. Projekts ir paredzēts pacientu un viņu likumisko pārstāvju ārstniecības un aprūpes procesa uzlabošanai, un rezultāts ir ieguvums tikai pašiem pacientiem. Datu ievades, uzkrāšanas un nodošanas uz koplietošanas platformu mērķis ir uzlabot onkoloģijas pacientu ārstniecības procesu. Datu apmaiņas (pieejamības) rezultātā sabiedrība būs ieguvēja, jo datos balstītus lēmumus varēs pieņemt arī par proaktīvu rīcību onkoloģiskās saslimstības jomā</w:t>
                  </w:r>
                </w:p>
              </w:tc>
            </w:tr>
          </w:tbl>
          <w:p w14:paraId="356538E2" w14:textId="77777777" w:rsidR="006A3D72" w:rsidRPr="00F72E46" w:rsidRDefault="006A3D72" w:rsidP="00F72E46">
            <w:pPr>
              <w:spacing w:after="0" w:line="240" w:lineRule="auto"/>
              <w:jc w:val="both"/>
              <w:rPr>
                <w:rFonts w:ascii="Times New Roman" w:hAnsi="Times New Roman" w:cs="Times New Roman"/>
                <w:sz w:val="24"/>
                <w:szCs w:val="24"/>
              </w:rPr>
            </w:pPr>
          </w:p>
          <w:p w14:paraId="4DDB178D" w14:textId="691DC040"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Lietotie saīsinājumi:</w:t>
            </w:r>
          </w:p>
          <w:p w14:paraId="37633BBC" w14:textId="28CFCD40" w:rsidR="006A3D72" w:rsidRDefault="006A3D72" w:rsidP="359AEA39">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ADP – Latvijas Atvērto datu portāls</w:t>
            </w:r>
            <w:r w:rsidRPr="005045EB">
              <w:rPr>
                <w:rFonts w:ascii="Times New Roman" w:hAnsi="Times New Roman" w:cs="Times New Roman"/>
                <w:sz w:val="24"/>
                <w:szCs w:val="24"/>
              </w:rPr>
              <w:t xml:space="preserve"> </w:t>
            </w:r>
          </w:p>
          <w:p w14:paraId="53310303" w14:textId="6DAAE076" w:rsidR="006A3D72" w:rsidRDefault="006A3D72" w:rsidP="5A5A694A">
            <w:pPr>
              <w:spacing w:after="0" w:line="240" w:lineRule="auto"/>
              <w:jc w:val="both"/>
              <w:rPr>
                <w:rFonts w:ascii="Times New Roman" w:hAnsi="Times New Roman" w:cs="Times New Roman"/>
                <w:sz w:val="24"/>
                <w:szCs w:val="24"/>
              </w:rPr>
            </w:pPr>
            <w:r w:rsidRPr="005045EB">
              <w:rPr>
                <w:rFonts w:ascii="Times New Roman" w:hAnsi="Times New Roman" w:cs="Times New Roman"/>
                <w:sz w:val="24"/>
                <w:szCs w:val="24"/>
              </w:rPr>
              <w:t xml:space="preserve">API </w:t>
            </w:r>
            <w:r w:rsidR="00A80B9E" w:rsidRPr="359AEA39">
              <w:rPr>
                <w:rFonts w:ascii="Times New Roman" w:hAnsi="Times New Roman" w:cs="Times New Roman"/>
                <w:sz w:val="24"/>
                <w:szCs w:val="24"/>
              </w:rPr>
              <w:t xml:space="preserve">– </w:t>
            </w:r>
            <w:r w:rsidRPr="005045EB">
              <w:rPr>
                <w:rFonts w:ascii="Times New Roman" w:hAnsi="Times New Roman" w:cs="Times New Roman"/>
                <w:sz w:val="24"/>
                <w:szCs w:val="24"/>
              </w:rPr>
              <w:t xml:space="preserve">Lietojumprogrammas saskarne (no angļu val. – </w:t>
            </w:r>
            <w:proofErr w:type="spellStart"/>
            <w:r w:rsidRPr="005045EB">
              <w:rPr>
                <w:rFonts w:ascii="Times New Roman" w:hAnsi="Times New Roman" w:cs="Times New Roman"/>
                <w:i/>
                <w:iCs/>
                <w:sz w:val="24"/>
                <w:szCs w:val="24"/>
              </w:rPr>
              <w:t>Application</w:t>
            </w:r>
            <w:proofErr w:type="spellEnd"/>
            <w:r w:rsidRPr="005045EB">
              <w:rPr>
                <w:rFonts w:ascii="Times New Roman" w:hAnsi="Times New Roman" w:cs="Times New Roman"/>
                <w:i/>
                <w:iCs/>
                <w:sz w:val="24"/>
                <w:szCs w:val="24"/>
              </w:rPr>
              <w:t xml:space="preserve"> </w:t>
            </w:r>
            <w:proofErr w:type="spellStart"/>
            <w:r w:rsidRPr="005045EB">
              <w:rPr>
                <w:rFonts w:ascii="Times New Roman" w:hAnsi="Times New Roman" w:cs="Times New Roman"/>
                <w:i/>
                <w:iCs/>
                <w:sz w:val="24"/>
                <w:szCs w:val="24"/>
              </w:rPr>
              <w:t>Programming</w:t>
            </w:r>
            <w:proofErr w:type="spellEnd"/>
            <w:r w:rsidRPr="005045EB">
              <w:rPr>
                <w:rFonts w:ascii="Times New Roman" w:hAnsi="Times New Roman" w:cs="Times New Roman"/>
                <w:i/>
                <w:iCs/>
                <w:sz w:val="24"/>
                <w:szCs w:val="24"/>
              </w:rPr>
              <w:t xml:space="preserve"> Interface</w:t>
            </w:r>
            <w:r w:rsidRPr="005045EB">
              <w:rPr>
                <w:rFonts w:ascii="Times New Roman" w:hAnsi="Times New Roman" w:cs="Times New Roman"/>
                <w:sz w:val="24"/>
                <w:szCs w:val="24"/>
              </w:rPr>
              <w:t>)</w:t>
            </w:r>
          </w:p>
          <w:p w14:paraId="5CAC8D2C" w14:textId="4F720DF2" w:rsidR="006A3D72" w:rsidRDefault="006A3D72" w:rsidP="5A5A694A">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AVIS </w:t>
            </w:r>
            <w:r w:rsidR="00A80B9E" w:rsidRPr="359AEA39">
              <w:rPr>
                <w:rFonts w:ascii="Times New Roman" w:hAnsi="Times New Roman" w:cs="Times New Roman"/>
                <w:sz w:val="24"/>
                <w:szCs w:val="24"/>
              </w:rPr>
              <w:t xml:space="preserve">– </w:t>
            </w:r>
            <w:r w:rsidRPr="359AEA39">
              <w:rPr>
                <w:rFonts w:ascii="Times New Roman" w:hAnsi="Times New Roman" w:cs="Times New Roman"/>
                <w:sz w:val="24"/>
                <w:szCs w:val="24"/>
              </w:rPr>
              <w:t>Atvieglojumu vienotā informācijas sistēma</w:t>
            </w:r>
          </w:p>
          <w:p w14:paraId="69235F33" w14:textId="58C05B71" w:rsidR="006A3D72" w:rsidRPr="00F72E46" w:rsidRDefault="006A3D72" w:rsidP="359AEA39">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BKUS – Bērnu klīniskā universitātes slimnīca</w:t>
            </w:r>
          </w:p>
          <w:p w14:paraId="0D0825B6" w14:textId="6999DD55"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DAGR – Datu izplatīšanas un pārvaldības platforma</w:t>
            </w:r>
          </w:p>
          <w:p w14:paraId="304DF4C4" w14:textId="658DD926" w:rsidR="006A3D72" w:rsidRDefault="006A3D72" w:rsidP="359AEA39">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EMY </w:t>
            </w:r>
            <w:r w:rsidR="00A80B9E" w:rsidRPr="359AEA39">
              <w:rPr>
                <w:rFonts w:ascii="Times New Roman" w:hAnsi="Times New Roman" w:cs="Times New Roman"/>
                <w:sz w:val="24"/>
                <w:szCs w:val="24"/>
              </w:rPr>
              <w:t xml:space="preserve">– </w:t>
            </w:r>
            <w:r w:rsidRPr="359AEA39">
              <w:rPr>
                <w:rFonts w:ascii="Times New Roman" w:hAnsi="Times New Roman" w:cs="Times New Roman"/>
                <w:sz w:val="24"/>
                <w:szCs w:val="24"/>
              </w:rPr>
              <w:t>Neatliekamās medicīniskās palīdzības dienesta informācijas sistēma</w:t>
            </w:r>
          </w:p>
          <w:p w14:paraId="40A8A2A7" w14:textId="6612078E"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E-veselības IS</w:t>
            </w:r>
            <w:r w:rsidR="00A80B9E">
              <w:rPr>
                <w:rFonts w:ascii="Times New Roman" w:hAnsi="Times New Roman" w:cs="Times New Roman"/>
                <w:sz w:val="24"/>
                <w:szCs w:val="24"/>
              </w:rPr>
              <w:t xml:space="preserve"> </w:t>
            </w:r>
            <w:r w:rsidRPr="359AEA39">
              <w:rPr>
                <w:rFonts w:ascii="Times New Roman" w:hAnsi="Times New Roman" w:cs="Times New Roman"/>
                <w:sz w:val="24"/>
                <w:szCs w:val="24"/>
              </w:rPr>
              <w:t>– Vienotā veselības nozares elektroniskās informācijas sistēma</w:t>
            </w:r>
          </w:p>
          <w:p w14:paraId="2074A4C8"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IKT – informācijas un komunikācijas tehnoloģijas</w:t>
            </w:r>
          </w:p>
          <w:p w14:paraId="35E24467"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IS – informācijas sistēma</w:t>
            </w:r>
          </w:p>
          <w:p w14:paraId="446702A7" w14:textId="77777777"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KUS – klīniskās universitātes slimnīcas (kopā)</w:t>
            </w:r>
          </w:p>
          <w:p w14:paraId="2BFDC495" w14:textId="4FF6D8A1" w:rsidR="006A3D72" w:rsidRDefault="006A3D72" w:rsidP="359AEA39">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LDVC – Latvijas Digitālās veselības centrs</w:t>
            </w:r>
          </w:p>
          <w:p w14:paraId="3EDD9556" w14:textId="77777777"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NVD – Nacionālais veselības dienests</w:t>
            </w:r>
          </w:p>
          <w:p w14:paraId="5638C1F3" w14:textId="0DD077A6" w:rsidR="006A3D72" w:rsidRDefault="006A3D72" w:rsidP="5A5A694A">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OPDP </w:t>
            </w:r>
            <w:r w:rsidR="00A80B9E" w:rsidRPr="359AEA39">
              <w:rPr>
                <w:rFonts w:ascii="Times New Roman" w:hAnsi="Times New Roman" w:cs="Times New Roman"/>
                <w:sz w:val="24"/>
                <w:szCs w:val="24"/>
              </w:rPr>
              <w:t xml:space="preserve">– </w:t>
            </w:r>
            <w:r w:rsidRPr="359AEA39">
              <w:rPr>
                <w:rFonts w:ascii="Times New Roman" w:hAnsi="Times New Roman" w:cs="Times New Roman"/>
                <w:sz w:val="24"/>
                <w:szCs w:val="24"/>
              </w:rPr>
              <w:t>Onkoloģisko pacientu datu platforma</w:t>
            </w:r>
          </w:p>
          <w:p w14:paraId="55B6E7D2"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PSKUS – Paula Stradiņa klīniskā universitātes slimnīca</w:t>
            </w:r>
          </w:p>
          <w:p w14:paraId="64E84C7D" w14:textId="77777777" w:rsidR="006A3D72"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rPr>
              <w:t>RAKUS – Rīgas Austrumu klīniskā universitātes slimnīca</w:t>
            </w:r>
          </w:p>
          <w:p w14:paraId="1F2FA596" w14:textId="5A01031C"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SPKC – Slimību profilakses un kontroles centrs</w:t>
            </w:r>
          </w:p>
          <w:p w14:paraId="3ECB3226" w14:textId="77777777"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VARAM – Vides aizsardzības un reģionālās attīstības ministrija</w:t>
            </w:r>
          </w:p>
          <w:p w14:paraId="1DEBF668" w14:textId="118AE3EA" w:rsidR="006A3D72" w:rsidRDefault="006A3D72" w:rsidP="5A5A694A">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rPr>
              <w:t xml:space="preserve">VIRSIS </w:t>
            </w:r>
            <w:r w:rsidR="00A80B9E" w:rsidRPr="359AEA39">
              <w:rPr>
                <w:rFonts w:ascii="Times New Roman" w:hAnsi="Times New Roman" w:cs="Times New Roman"/>
                <w:sz w:val="24"/>
                <w:szCs w:val="24"/>
              </w:rPr>
              <w:t xml:space="preserve">– </w:t>
            </w:r>
            <w:r w:rsidRPr="359AEA39">
              <w:rPr>
                <w:rFonts w:ascii="Times New Roman" w:hAnsi="Times New Roman" w:cs="Times New Roman"/>
                <w:sz w:val="24"/>
                <w:szCs w:val="24"/>
              </w:rPr>
              <w:t>Valsts informācijas resursu, sistēmu un sadarbspējas informācijas sistēma</w:t>
            </w:r>
          </w:p>
          <w:p w14:paraId="144FB45F" w14:textId="77777777" w:rsidR="006A3D72" w:rsidRPr="00F72E46" w:rsidRDefault="006A3D72" w:rsidP="00F72E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pict w14:anchorId="1FA296BE">
                <v:rect id="_x0000_i1098" style="width:142.55pt;height:.6pt" o:hrpct="330" o:hrstd="t" o:hr="t" fillcolor="#a0a0a0" stroked="f"/>
              </w:pict>
            </w:r>
          </w:p>
          <w:p w14:paraId="50C76ED0"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w:t>
            </w:r>
            <w:r w:rsidRPr="00F72E46">
              <w:rPr>
                <w:rFonts w:ascii="Times New Roman" w:hAnsi="Times New Roman" w:cs="Times New Roman"/>
                <w:sz w:val="24"/>
                <w:szCs w:val="24"/>
              </w:rPr>
              <w:t> DAGR datu apmaiņa tiek izmantota tikai tad, ja DAGR ir produktīvā darbībā.</w:t>
            </w:r>
          </w:p>
          <w:p w14:paraId="0DF2F449" w14:textId="07D357E3" w:rsidR="006A3D72" w:rsidRPr="00F72E46" w:rsidRDefault="006A3D72" w:rsidP="00F72E46">
            <w:pPr>
              <w:spacing w:after="0" w:line="240" w:lineRule="auto"/>
              <w:jc w:val="both"/>
              <w:rPr>
                <w:rFonts w:ascii="Times New Roman" w:hAnsi="Times New Roman" w:cs="Times New Roman"/>
                <w:sz w:val="24"/>
                <w:szCs w:val="24"/>
              </w:rPr>
            </w:pPr>
            <w:r w:rsidRPr="359AEA39">
              <w:rPr>
                <w:rFonts w:ascii="Times New Roman" w:hAnsi="Times New Roman" w:cs="Times New Roman"/>
                <w:sz w:val="24"/>
                <w:szCs w:val="24"/>
                <w:vertAlign w:val="superscript"/>
              </w:rPr>
              <w:t>2</w:t>
            </w:r>
            <w:r w:rsidRPr="359AEA39">
              <w:rPr>
                <w:rFonts w:ascii="Times New Roman" w:hAnsi="Times New Roman" w:cs="Times New Roman"/>
                <w:sz w:val="24"/>
                <w:szCs w:val="24"/>
              </w:rPr>
              <w:t> Tai skaitā nodrošinātu datu nodošanu uz LDVC atbilstoši e-veselības IS gatavībai un pieejamām iespējām.</w:t>
            </w:r>
          </w:p>
          <w:p w14:paraId="3C925C60" w14:textId="510B6B14"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3</w:t>
            </w:r>
            <w:r w:rsidRPr="00F72E46">
              <w:rPr>
                <w:rFonts w:ascii="Times New Roman" w:hAnsi="Times New Roman" w:cs="Times New Roman"/>
                <w:sz w:val="24"/>
                <w:szCs w:val="24"/>
              </w:rPr>
              <w:t> Obligāti jāiekļauj vismaz viens (vēlami vismaz divi) būtisks ieguvums, kas tiek sasniegts jau projekta īstenošanas laikā. Šajā sadaļā ir jānorāda būtiskie ieguvumi nozarei, institūcijai un sabiedrībai, bet nav jānorāda iznākumi – ieguldījumi Atveseļošanas un noturības mehānisma plāna </w:t>
            </w:r>
            <w:hyperlink r:id="rId13" w:anchor="p2.1" w:history="1">
              <w:r w:rsidRPr="00F72E46">
                <w:rPr>
                  <w:rStyle w:val="Hyperlink"/>
                  <w:rFonts w:ascii="Times New Roman" w:hAnsi="Times New Roman" w:cs="Times New Roman"/>
                  <w:color w:val="auto"/>
                  <w:sz w:val="24"/>
                  <w:szCs w:val="24"/>
                </w:rPr>
                <w:t>2.1</w:t>
              </w:r>
            </w:hyperlink>
            <w:r w:rsidRPr="00F72E46">
              <w:rPr>
                <w:rFonts w:ascii="Times New Roman" w:hAnsi="Times New Roman" w:cs="Times New Roman"/>
                <w:sz w:val="24"/>
                <w:szCs w:val="24"/>
              </w:rPr>
              <w:t>. mērķa rādītāju sasniegšanā, ko norāda </w:t>
            </w:r>
            <w:hyperlink r:id="rId14" w:anchor="p5" w:history="1">
              <w:r w:rsidRPr="00F72E46">
                <w:rPr>
                  <w:rStyle w:val="Hyperlink"/>
                  <w:rFonts w:ascii="Times New Roman" w:hAnsi="Times New Roman" w:cs="Times New Roman"/>
                  <w:color w:val="auto"/>
                  <w:sz w:val="24"/>
                  <w:szCs w:val="24"/>
                </w:rPr>
                <w:t>5. punktā</w:t>
              </w:r>
            </w:hyperlink>
            <w:r w:rsidRPr="00F72E46">
              <w:rPr>
                <w:rFonts w:ascii="Times New Roman" w:hAnsi="Times New Roman" w:cs="Times New Roman"/>
                <w:sz w:val="24"/>
                <w:szCs w:val="24"/>
              </w:rPr>
              <w:t>.</w:t>
            </w:r>
          </w:p>
          <w:p w14:paraId="55EEB022" w14:textId="30A68470"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4</w:t>
            </w:r>
            <w:r w:rsidRPr="00F72E46">
              <w:rPr>
                <w:rFonts w:ascii="Times New Roman" w:hAnsi="Times New Roman" w:cs="Times New Roman"/>
                <w:sz w:val="24"/>
                <w:szCs w:val="24"/>
              </w:rPr>
              <w:t> Piemēram, ja ieguvums ir personāla administrēšanas funkcijas centralizācija, tad mērījums varētu būt, piemēram, tiešās pārvaldes darbinieku skaits, kas to izmanto, vērtība, piemēram, 10 000, un sasniegšanas laiks – 2026. gads.</w:t>
            </w:r>
          </w:p>
          <w:p w14:paraId="40E7D959"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5</w:t>
            </w:r>
            <w:r w:rsidRPr="00F72E46">
              <w:rPr>
                <w:rFonts w:ascii="Times New Roman" w:hAnsi="Times New Roman" w:cs="Times New Roman"/>
                <w:sz w:val="24"/>
                <w:szCs w:val="24"/>
              </w:rPr>
              <w:t> PVN netiek attiecināts projektu īstenotājiem, kas to var attiecināt patstāvīgi. Pārējie projektu īstenotāji var pieprasīt to attiecināt, norādot apmēru un saskaņojot to ar Finanšu ministriju.</w:t>
            </w:r>
          </w:p>
          <w:p w14:paraId="198A12BC"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6</w:t>
            </w:r>
            <w:r w:rsidRPr="00F72E46">
              <w:rPr>
                <w:rFonts w:ascii="Times New Roman" w:hAnsi="Times New Roman" w:cs="Times New Roman"/>
                <w:sz w:val="24"/>
                <w:szCs w:val="24"/>
              </w:rPr>
              <w:t> Avansa maksājumi ir attiecināmi uz projektu īstenotājiem, kas nav valsts tiešās pārvaldes institūcijas. Jānorāda apmērs, kas nepārsniedz 30 % no attiecināmo izmaksu kopsummas, un jāsaskaņo ar Finanšu ministriju.</w:t>
            </w:r>
          </w:p>
          <w:p w14:paraId="60FD833F"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7</w:t>
            </w:r>
            <w:r w:rsidRPr="00F72E46">
              <w:rPr>
                <w:rFonts w:ascii="Times New Roman" w:hAnsi="Times New Roman" w:cs="Times New Roman"/>
                <w:sz w:val="24"/>
                <w:szCs w:val="24"/>
              </w:rPr>
              <w:t> Apmērs, ko nedrīkst pārsniegt, nesaskaņojot grozījumus Ministru kabinetā. Ja ierobežojumi uz konkrēto pozīciju nav attiecināmi, tad norāda "n/a".</w:t>
            </w:r>
          </w:p>
          <w:p w14:paraId="78A0F6A1" w14:textId="1057DEB1"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8</w:t>
            </w:r>
            <w:r w:rsidRPr="00F72E46">
              <w:rPr>
                <w:rFonts w:ascii="Times New Roman" w:hAnsi="Times New Roman" w:cs="Times New Roman"/>
                <w:sz w:val="24"/>
                <w:szCs w:val="24"/>
              </w:rPr>
              <w:t xml:space="preserve"> Informācija, kas norādīta Ministru kabineta 2021. gada 31. augusta </w:t>
            </w:r>
            <w:r w:rsidRPr="00AA5D12">
              <w:rPr>
                <w:rFonts w:ascii="Times New Roman" w:hAnsi="Times New Roman" w:cs="Times New Roman"/>
                <w:sz w:val="24"/>
                <w:szCs w:val="24"/>
              </w:rPr>
              <w:t>noteikumu Nr. 597 "</w:t>
            </w:r>
            <w:hyperlink r:id="rId15" w:tgtFrame="_blank" w:history="1">
              <w:r w:rsidRPr="00005CE3">
                <w:rPr>
                  <w:rStyle w:val="Hyperlink"/>
                  <w:rFonts w:ascii="Times New Roman" w:hAnsi="Times New Roman" w:cs="Times New Roman"/>
                  <w:color w:val="auto"/>
                  <w:sz w:val="24"/>
                  <w:szCs w:val="24"/>
                  <w:u w:val="none"/>
                </w:rPr>
                <w:t>Valsts informācijas sistēmu attīstības projektu uzraudzības kārtība</w:t>
              </w:r>
            </w:hyperlink>
            <w:r w:rsidRPr="00AA5D12">
              <w:rPr>
                <w:rFonts w:ascii="Times New Roman" w:hAnsi="Times New Roman" w:cs="Times New Roman"/>
                <w:sz w:val="24"/>
                <w:szCs w:val="24"/>
              </w:rPr>
              <w:t>" (tā sauktā IKT būvvaldes kārtība</w:t>
            </w:r>
            <w:r w:rsidR="00AA5D12" w:rsidRPr="00AA5D12">
              <w:rPr>
                <w:rFonts w:ascii="Times New Roman" w:hAnsi="Times New Roman" w:cs="Times New Roman"/>
                <w:sz w:val="24"/>
                <w:szCs w:val="24"/>
              </w:rPr>
              <w:t>)</w:t>
            </w:r>
            <w:r w:rsidR="00AA5D12">
              <w:rPr>
                <w:rFonts w:ascii="Times New Roman" w:hAnsi="Times New Roman" w:cs="Times New Roman"/>
                <w:sz w:val="24"/>
                <w:szCs w:val="24"/>
              </w:rPr>
              <w:t xml:space="preserve"> </w:t>
            </w:r>
            <w:hyperlink r:id="rId16" w:anchor="piel2" w:tgtFrame="_blank" w:history="1">
              <w:r w:rsidR="00AA5D12" w:rsidRPr="00005CE3">
                <w:rPr>
                  <w:rStyle w:val="Hyperlink"/>
                  <w:rFonts w:ascii="Times New Roman" w:hAnsi="Times New Roman" w:cs="Times New Roman"/>
                  <w:color w:val="auto"/>
                  <w:sz w:val="24"/>
                  <w:szCs w:val="24"/>
                  <w:u w:val="none"/>
                </w:rPr>
                <w:t>2.</w:t>
              </w:r>
              <w:r w:rsidR="00AA5D12">
                <w:rPr>
                  <w:rStyle w:val="Hyperlink"/>
                  <w:rFonts w:ascii="Times New Roman" w:hAnsi="Times New Roman" w:cs="Times New Roman"/>
                  <w:color w:val="auto"/>
                  <w:sz w:val="24"/>
                  <w:szCs w:val="24"/>
                  <w:u w:val="none"/>
                </w:rPr>
                <w:t> </w:t>
              </w:r>
              <w:r w:rsidR="00AA5D12" w:rsidRPr="00005CE3">
                <w:rPr>
                  <w:rStyle w:val="Hyperlink"/>
                  <w:rFonts w:ascii="Times New Roman" w:hAnsi="Times New Roman" w:cs="Times New Roman"/>
                  <w:color w:val="auto"/>
                  <w:sz w:val="24"/>
                  <w:szCs w:val="24"/>
                  <w:u w:val="none"/>
                </w:rPr>
                <w:t>pielikuma</w:t>
              </w:r>
            </w:hyperlink>
            <w:r w:rsidR="00AA5D12">
              <w:rPr>
                <w:rFonts w:ascii="Times New Roman" w:hAnsi="Times New Roman" w:cs="Times New Roman"/>
                <w:sz w:val="24"/>
                <w:szCs w:val="24"/>
              </w:rPr>
              <w:t xml:space="preserve"> </w:t>
            </w:r>
            <w:r w:rsidRPr="00AA5D12">
              <w:rPr>
                <w:rFonts w:ascii="Times New Roman" w:hAnsi="Times New Roman" w:cs="Times New Roman"/>
                <w:sz w:val="24"/>
                <w:szCs w:val="24"/>
              </w:rPr>
              <w:t>"Valsts informācijas sistēmas attīstības aktivitātes apraksts" 6.1. apakšpunktā</w:t>
            </w:r>
            <w:r w:rsidRPr="00F72E46">
              <w:rPr>
                <w:rFonts w:ascii="Times New Roman" w:hAnsi="Times New Roman" w:cs="Times New Roman"/>
                <w:sz w:val="24"/>
                <w:szCs w:val="24"/>
              </w:rPr>
              <w:t>.</w:t>
            </w:r>
          </w:p>
          <w:p w14:paraId="52226A29" w14:textId="2290B463"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9</w:t>
            </w:r>
            <w:r w:rsidRPr="00F72E46">
              <w:rPr>
                <w:rFonts w:ascii="Times New Roman" w:hAnsi="Times New Roman" w:cs="Times New Roman"/>
                <w:sz w:val="24"/>
                <w:szCs w:val="24"/>
              </w:rPr>
              <w:t> VARAM saskaņojums (VARAM 10.11.2023. atzinums Nr. 11-1/6488). "Apliecinām, ka izmaiņas saskaņotajos aprakstos šobrīd netiek identificētas".</w:t>
            </w:r>
          </w:p>
          <w:p w14:paraId="0D4F817C" w14:textId="30DC4C8E"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10</w:t>
            </w:r>
            <w:r w:rsidRPr="00F72E46">
              <w:rPr>
                <w:rFonts w:ascii="Times New Roman" w:hAnsi="Times New Roman" w:cs="Times New Roman"/>
                <w:sz w:val="24"/>
                <w:szCs w:val="24"/>
              </w:rPr>
              <w:t> Ja koplietošanas pakalpojuma attīstības plāns tiek iesniegts vienlaikus ar Ministru kabineta rīkojumu par projekta atlases kārtu, pievieno attiecīgu norādi.</w:t>
            </w:r>
          </w:p>
          <w:p w14:paraId="3E273CAD"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11</w:t>
            </w:r>
            <w:r w:rsidRPr="00F72E46">
              <w:rPr>
                <w:rFonts w:ascii="Times New Roman" w:hAnsi="Times New Roman" w:cs="Times New Roman"/>
                <w:sz w:val="24"/>
                <w:szCs w:val="24"/>
              </w:rPr>
              <w:t> Kapitālsabiedrības un pašvaldības norāda arī finanšu kapacitāti atbilstoši finansēšanas nosacījumiem.</w:t>
            </w:r>
          </w:p>
          <w:p w14:paraId="024F8F65"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12</w:t>
            </w:r>
            <w:r w:rsidRPr="00F72E46">
              <w:rPr>
                <w:rFonts w:ascii="Times New Roman" w:hAnsi="Times New Roman" w:cs="Times New Roman"/>
                <w:sz w:val="24"/>
                <w:szCs w:val="24"/>
              </w:rPr>
              <w:t> Ieguvumu analīze ir veikta atbilstoši pieejamiem 2022. gada datiem, un inflācijas ietekme turpmākajos periodos netiek ņemta vērā.</w:t>
            </w:r>
          </w:p>
          <w:p w14:paraId="413CC14D" w14:textId="77777777" w:rsidR="006A3D72" w:rsidRPr="00F72E46"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13</w:t>
            </w:r>
            <w:r w:rsidRPr="00F72E46">
              <w:rPr>
                <w:rFonts w:ascii="Times New Roman" w:hAnsi="Times New Roman" w:cs="Times New Roman"/>
                <w:sz w:val="24"/>
                <w:szCs w:val="24"/>
              </w:rPr>
              <w:t> https://stat.gov.lv/sites/default/files/press_release/2022-09/Rīgas%20un%20Pierīgas%20iedzīvotāju%20pārvietošanās%20paradumu%20analīze.pdf</w:t>
            </w:r>
          </w:p>
          <w:p w14:paraId="6D23AFAF" w14:textId="1F4DF7C8" w:rsidR="006A3D72" w:rsidRPr="00A80B9E" w:rsidRDefault="006A3D72" w:rsidP="00F72E46">
            <w:pPr>
              <w:spacing w:after="0" w:line="240" w:lineRule="auto"/>
              <w:jc w:val="both"/>
              <w:rPr>
                <w:rFonts w:ascii="Times New Roman" w:hAnsi="Times New Roman" w:cs="Times New Roman"/>
                <w:sz w:val="24"/>
                <w:szCs w:val="24"/>
              </w:rPr>
            </w:pPr>
            <w:r w:rsidRPr="00F72E46">
              <w:rPr>
                <w:rFonts w:ascii="Times New Roman" w:hAnsi="Times New Roman" w:cs="Times New Roman"/>
                <w:sz w:val="24"/>
                <w:szCs w:val="24"/>
                <w:vertAlign w:val="superscript"/>
              </w:rPr>
              <w:t>14</w:t>
            </w:r>
            <w:r w:rsidRPr="00F72E46">
              <w:rPr>
                <w:rFonts w:ascii="Times New Roman" w:hAnsi="Times New Roman" w:cs="Times New Roman"/>
                <w:sz w:val="24"/>
                <w:szCs w:val="24"/>
              </w:rPr>
              <w:t> </w:t>
            </w:r>
            <w:hyperlink r:id="rId17" w:tgtFrame="_blank" w:history="1">
              <w:r w:rsidRPr="00005CE3">
                <w:rPr>
                  <w:rStyle w:val="Hyperlink"/>
                  <w:rFonts w:ascii="Times New Roman" w:hAnsi="Times New Roman" w:cs="Times New Roman"/>
                  <w:color w:val="auto"/>
                  <w:sz w:val="24"/>
                  <w:szCs w:val="24"/>
                  <w:u w:val="none"/>
                </w:rPr>
                <w:t>https://www.esfondi.lv/normativie-akti-un-dokumenti/2021-2027-planosanas-periods/vienas-vienibas-izmaksu-standarta-likmes-aprekina-un-piemerosanas-metodika-1-km-izmaksam-darbibas-programmas-izaugsme-un-nodarbinatiba-un-eiropas-savienibas-kohezijas-politikas-programmas-2021-2027-gadam-istenosanai</w:t>
              </w:r>
            </w:hyperlink>
          </w:p>
          <w:p w14:paraId="2246E71F" w14:textId="0D276556" w:rsidR="006A3D72" w:rsidRPr="00F72E46" w:rsidRDefault="006A3D72" w:rsidP="00F72E46">
            <w:pPr>
              <w:spacing w:after="0" w:line="240" w:lineRule="auto"/>
              <w:jc w:val="both"/>
              <w:rPr>
                <w:rFonts w:ascii="Times New Roman" w:hAnsi="Times New Roman" w:cs="Times New Roman"/>
                <w:sz w:val="24"/>
                <w:szCs w:val="24"/>
              </w:rPr>
            </w:pPr>
            <w:r w:rsidRPr="00A80B9E">
              <w:rPr>
                <w:rFonts w:ascii="Times New Roman" w:hAnsi="Times New Roman" w:cs="Times New Roman"/>
                <w:sz w:val="24"/>
                <w:szCs w:val="24"/>
                <w:vertAlign w:val="superscript"/>
              </w:rPr>
              <w:t>15</w:t>
            </w:r>
            <w:r w:rsidRPr="00A80B9E">
              <w:rPr>
                <w:rFonts w:ascii="Times New Roman" w:hAnsi="Times New Roman" w:cs="Times New Roman"/>
                <w:sz w:val="24"/>
                <w:szCs w:val="24"/>
              </w:rPr>
              <w:t> </w:t>
            </w:r>
            <w:hyperlink r:id="rId18" w:tgtFrame="_blank" w:history="1">
              <w:r w:rsidRPr="00005CE3">
                <w:rPr>
                  <w:rStyle w:val="Hyperlink"/>
                  <w:rFonts w:ascii="Times New Roman" w:hAnsi="Times New Roman" w:cs="Times New Roman"/>
                  <w:color w:val="auto"/>
                  <w:sz w:val="24"/>
                  <w:szCs w:val="24"/>
                  <w:u w:val="none"/>
                </w:rPr>
                <w:t>https://www.esfondi.lv/normativie-akti-un-dokumenti/2021-2027-planosanas-periods/vienas-vienibas-izmaksu-standarta-likmes-aprekina-un-piemerosanas-metodika-1-km-izmaksam-darbibas-programmas-izaugsme-un-nodarbinatiba-un-eiropas-savienibas-kohezijas-politikas-programmas-2021-2027-gadam-istenosanai</w:t>
              </w:r>
            </w:hyperlink>
            <w:r w:rsidRPr="00F72E46">
              <w:rPr>
                <w:rFonts w:ascii="Times New Roman" w:hAnsi="Times New Roman" w:cs="Times New Roman"/>
                <w:sz w:val="24"/>
                <w:szCs w:val="24"/>
              </w:rPr>
              <w:t>"</w:t>
            </w:r>
          </w:p>
        </w:tc>
      </w:tr>
      <w:bookmarkEnd w:id="0"/>
    </w:tbl>
    <w:p w14:paraId="2C295DFE" w14:textId="278C6623" w:rsidR="00611D35" w:rsidRDefault="00611D35"/>
    <w:sectPr w:rsidR="00611D35" w:rsidSect="00005CE3">
      <w:headerReference w:type="default" r:id="rId19"/>
      <w:footerReference w:type="default" r:id="rId20"/>
      <w:headerReference w:type="first" r:id="rId21"/>
      <w:footerReference w:type="first" r:id="rId22"/>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00D05" w14:textId="77777777" w:rsidR="00627D71" w:rsidRDefault="00627D71" w:rsidP="00456FCB">
      <w:pPr>
        <w:spacing w:after="0" w:line="240" w:lineRule="auto"/>
      </w:pPr>
      <w:r>
        <w:separator/>
      </w:r>
    </w:p>
  </w:endnote>
  <w:endnote w:type="continuationSeparator" w:id="0">
    <w:p w14:paraId="4F2BD51E" w14:textId="77777777" w:rsidR="00627D71" w:rsidRDefault="00627D71" w:rsidP="00456FCB">
      <w:pPr>
        <w:spacing w:after="0" w:line="240" w:lineRule="auto"/>
      </w:pPr>
      <w:r>
        <w:continuationSeparator/>
      </w:r>
    </w:p>
  </w:endnote>
  <w:endnote w:type="continuationNotice" w:id="1">
    <w:p w14:paraId="75EC056A" w14:textId="77777777" w:rsidR="00627D71" w:rsidRDefault="00627D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B1103" w14:textId="3E29FE9A" w:rsidR="00456FCB" w:rsidRPr="00456FCB" w:rsidRDefault="00A80B9E">
    <w:pPr>
      <w:pStyle w:val="Footer"/>
      <w:rPr>
        <w:rFonts w:ascii="Times New Roman" w:hAnsi="Times New Roman" w:cs="Times New Roman"/>
        <w:sz w:val="16"/>
        <w:szCs w:val="16"/>
      </w:rPr>
    </w:pPr>
    <w:r w:rsidRPr="00456FCB">
      <w:rPr>
        <w:rFonts w:ascii="Times New Roman" w:hAnsi="Times New Roman" w:cs="Times New Roman"/>
        <w:sz w:val="16"/>
        <w:szCs w:val="16"/>
      </w:rPr>
      <w:t>R2</w:t>
    </w:r>
    <w:r>
      <w:rPr>
        <w:rFonts w:ascii="Times New Roman" w:hAnsi="Times New Roman" w:cs="Times New Roman"/>
        <w:sz w:val="16"/>
        <w:szCs w:val="16"/>
      </w:rPr>
      <w:t>938</w:t>
    </w:r>
    <w:r w:rsidR="00456FCB" w:rsidRPr="00456FCB">
      <w:rPr>
        <w:rFonts w:ascii="Times New Roman" w:hAnsi="Times New Roman" w:cs="Times New Roman"/>
        <w:sz w:val="16"/>
        <w:szCs w:val="16"/>
      </w:rPr>
      <w:t>_</w:t>
    </w:r>
    <w:r>
      <w:rPr>
        <w:rFonts w:ascii="Times New Roman" w:hAnsi="Times New Roman" w:cs="Times New Roman"/>
        <w:sz w:val="16"/>
        <w:szCs w:val="16"/>
      </w:rPr>
      <w:t>5</w:t>
    </w:r>
    <w:r w:rsidRPr="00456FCB">
      <w:rPr>
        <w:rFonts w:ascii="Times New Roman" w:hAnsi="Times New Roman" w:cs="Times New Roman"/>
        <w:sz w:val="16"/>
        <w:szCs w:val="16"/>
      </w:rPr>
      <w:t>p</w:t>
    </w:r>
    <w:r w:rsidR="007F3010">
      <w:rPr>
        <w:rFonts w:ascii="Times New Roman" w:hAnsi="Times New Roman" w:cs="Times New Roman"/>
        <w:sz w:val="16"/>
        <w:szCs w:val="16"/>
      </w:rPr>
      <w:t>_VM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76664" w14:textId="6C1921B9" w:rsidR="00456FCB" w:rsidRPr="001031FE" w:rsidRDefault="00A80B9E">
    <w:pPr>
      <w:pStyle w:val="Footer"/>
      <w:rPr>
        <w:rFonts w:ascii="Times New Roman" w:hAnsi="Times New Roman" w:cs="Times New Roman"/>
        <w:sz w:val="16"/>
        <w:szCs w:val="16"/>
      </w:rPr>
    </w:pPr>
    <w:r w:rsidRPr="00456FCB">
      <w:rPr>
        <w:rFonts w:ascii="Times New Roman" w:hAnsi="Times New Roman" w:cs="Times New Roman"/>
        <w:sz w:val="16"/>
        <w:szCs w:val="16"/>
      </w:rPr>
      <w:t>R2</w:t>
    </w:r>
    <w:r>
      <w:rPr>
        <w:rFonts w:ascii="Times New Roman" w:hAnsi="Times New Roman" w:cs="Times New Roman"/>
        <w:sz w:val="16"/>
        <w:szCs w:val="16"/>
      </w:rPr>
      <w:t>938</w:t>
    </w:r>
    <w:r w:rsidRPr="00456FCB">
      <w:rPr>
        <w:rFonts w:ascii="Times New Roman" w:hAnsi="Times New Roman" w:cs="Times New Roman"/>
        <w:sz w:val="16"/>
        <w:szCs w:val="16"/>
      </w:rPr>
      <w:t>_</w:t>
    </w:r>
    <w:r>
      <w:rPr>
        <w:rFonts w:ascii="Times New Roman" w:hAnsi="Times New Roman" w:cs="Times New Roman"/>
        <w:sz w:val="16"/>
        <w:szCs w:val="16"/>
      </w:rPr>
      <w:t>5</w:t>
    </w:r>
    <w:r w:rsidR="001118A6" w:rsidRPr="00456FCB">
      <w:rPr>
        <w:rFonts w:ascii="Times New Roman" w:hAnsi="Times New Roman" w:cs="Times New Roman"/>
        <w:sz w:val="16"/>
        <w:szCs w:val="16"/>
      </w:rPr>
      <w:t>p</w:t>
    </w:r>
    <w:r w:rsidR="007F3010">
      <w:rPr>
        <w:rFonts w:ascii="Times New Roman" w:hAnsi="Times New Roman" w:cs="Times New Roman"/>
        <w:sz w:val="16"/>
        <w:szCs w:val="16"/>
      </w:rPr>
      <w:t>_VM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1A2DE" w14:textId="77777777" w:rsidR="00627D71" w:rsidRDefault="00627D71" w:rsidP="00456FCB">
      <w:pPr>
        <w:spacing w:after="0" w:line="240" w:lineRule="auto"/>
      </w:pPr>
      <w:r>
        <w:separator/>
      </w:r>
    </w:p>
  </w:footnote>
  <w:footnote w:type="continuationSeparator" w:id="0">
    <w:p w14:paraId="450A734F" w14:textId="77777777" w:rsidR="00627D71" w:rsidRDefault="00627D71" w:rsidP="00456FCB">
      <w:pPr>
        <w:spacing w:after="0" w:line="240" w:lineRule="auto"/>
      </w:pPr>
      <w:r>
        <w:continuationSeparator/>
      </w:r>
    </w:p>
  </w:footnote>
  <w:footnote w:type="continuationNotice" w:id="1">
    <w:p w14:paraId="553547BC" w14:textId="77777777" w:rsidR="00627D71" w:rsidRDefault="00627D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1839916"/>
      <w:docPartObj>
        <w:docPartGallery w:val="Page Numbers (Top of Page)"/>
        <w:docPartUnique/>
      </w:docPartObj>
    </w:sdtPr>
    <w:sdtEndPr>
      <w:rPr>
        <w:rFonts w:ascii="Times New Roman" w:hAnsi="Times New Roman" w:cs="Times New Roman"/>
        <w:noProof/>
        <w:sz w:val="24"/>
        <w:szCs w:val="24"/>
      </w:rPr>
    </w:sdtEndPr>
    <w:sdtContent>
      <w:p w14:paraId="6166B53A" w14:textId="3CEB85A7" w:rsidR="00456FCB" w:rsidRPr="00456FCB" w:rsidRDefault="00456FCB">
        <w:pPr>
          <w:pStyle w:val="Header"/>
          <w:jc w:val="center"/>
          <w:rPr>
            <w:rFonts w:ascii="Times New Roman" w:hAnsi="Times New Roman" w:cs="Times New Roman"/>
            <w:sz w:val="24"/>
            <w:szCs w:val="24"/>
          </w:rPr>
        </w:pPr>
        <w:r w:rsidRPr="00456FCB">
          <w:rPr>
            <w:rFonts w:ascii="Times New Roman" w:hAnsi="Times New Roman" w:cs="Times New Roman"/>
            <w:sz w:val="24"/>
            <w:szCs w:val="24"/>
          </w:rPr>
          <w:fldChar w:fldCharType="begin"/>
        </w:r>
        <w:r w:rsidRPr="00456FCB">
          <w:rPr>
            <w:rFonts w:ascii="Times New Roman" w:hAnsi="Times New Roman" w:cs="Times New Roman"/>
            <w:sz w:val="24"/>
            <w:szCs w:val="24"/>
          </w:rPr>
          <w:instrText xml:space="preserve"> PAGE   \* MERGEFORMAT </w:instrText>
        </w:r>
        <w:r w:rsidRPr="00456FCB">
          <w:rPr>
            <w:rFonts w:ascii="Times New Roman" w:hAnsi="Times New Roman" w:cs="Times New Roman"/>
            <w:sz w:val="24"/>
            <w:szCs w:val="24"/>
          </w:rPr>
          <w:fldChar w:fldCharType="separate"/>
        </w:r>
        <w:r w:rsidRPr="00456FCB">
          <w:rPr>
            <w:rFonts w:ascii="Times New Roman" w:hAnsi="Times New Roman" w:cs="Times New Roman"/>
            <w:noProof/>
            <w:sz w:val="24"/>
            <w:szCs w:val="24"/>
          </w:rPr>
          <w:t>2</w:t>
        </w:r>
        <w:r w:rsidRPr="00456FCB">
          <w:rPr>
            <w:rFonts w:ascii="Times New Roman" w:hAnsi="Times New Roman" w:cs="Times New Roman"/>
            <w:noProof/>
            <w:sz w:val="24"/>
            <w:szCs w:val="24"/>
          </w:rPr>
          <w:fldChar w:fldCharType="end"/>
        </w:r>
      </w:p>
    </w:sdtContent>
  </w:sdt>
  <w:p w14:paraId="4BE2F5B4" w14:textId="77777777" w:rsidR="00456FCB" w:rsidRDefault="00456F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EE484" w14:textId="1C695C02" w:rsidR="007F3010" w:rsidRPr="00005CE3" w:rsidRDefault="007F3010" w:rsidP="00005CE3">
    <w:pPr>
      <w:pStyle w:val="Header"/>
      <w:jc w:val="right"/>
      <w:rPr>
        <w:rFonts w:ascii="Times New Roman" w:hAnsi="Times New Roman" w:cs="Times New Roman"/>
        <w:b/>
        <w:bCs/>
        <w:sz w:val="28"/>
        <w:szCs w:val="28"/>
      </w:rPr>
    </w:pPr>
    <w:r w:rsidRPr="00005CE3">
      <w:rPr>
        <w:rFonts w:ascii="Times New Roman" w:hAnsi="Times New Roman" w:cs="Times New Roman"/>
        <w:b/>
        <w:bCs/>
        <w:sz w:val="28"/>
        <w:szCs w:val="28"/>
      </w:rPr>
      <w:t>Veselības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011"/>
    <w:multiLevelType w:val="multilevel"/>
    <w:tmpl w:val="FD8E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4473A0"/>
    <w:multiLevelType w:val="hybridMultilevel"/>
    <w:tmpl w:val="0F1ABB20"/>
    <w:lvl w:ilvl="0" w:tplc="04260001">
      <w:start w:val="1"/>
      <w:numFmt w:val="bullet"/>
      <w:lvlText w:val=""/>
      <w:lvlJc w:val="left"/>
      <w:pPr>
        <w:ind w:left="1080" w:hanging="360"/>
      </w:pPr>
      <w:rPr>
        <w:rFonts w:ascii="Symbol" w:hAnsi="Symbol" w:hint="default"/>
      </w:rPr>
    </w:lvl>
    <w:lvl w:ilvl="1" w:tplc="04260003">
      <w:start w:val="1"/>
      <w:numFmt w:val="bullet"/>
      <w:lvlText w:val="o"/>
      <w:lvlJc w:val="left"/>
      <w:pPr>
        <w:ind w:left="1800" w:hanging="360"/>
      </w:pPr>
      <w:rPr>
        <w:rFonts w:ascii="Courier New" w:hAnsi="Courier New" w:cs="Courier New" w:hint="default"/>
      </w:rPr>
    </w:lvl>
    <w:lvl w:ilvl="2" w:tplc="04260005">
      <w:start w:val="1"/>
      <w:numFmt w:val="bullet"/>
      <w:lvlText w:val=""/>
      <w:lvlJc w:val="left"/>
      <w:pPr>
        <w:ind w:left="2520" w:hanging="360"/>
      </w:pPr>
      <w:rPr>
        <w:rFonts w:ascii="Wingdings" w:hAnsi="Wingdings" w:hint="default"/>
      </w:rPr>
    </w:lvl>
    <w:lvl w:ilvl="3" w:tplc="04260001">
      <w:start w:val="1"/>
      <w:numFmt w:val="bullet"/>
      <w:lvlText w:val=""/>
      <w:lvlJc w:val="left"/>
      <w:pPr>
        <w:ind w:left="3240" w:hanging="360"/>
      </w:pPr>
      <w:rPr>
        <w:rFonts w:ascii="Symbol" w:hAnsi="Symbol" w:hint="default"/>
      </w:rPr>
    </w:lvl>
    <w:lvl w:ilvl="4" w:tplc="04260003">
      <w:start w:val="1"/>
      <w:numFmt w:val="bullet"/>
      <w:lvlText w:val="o"/>
      <w:lvlJc w:val="left"/>
      <w:pPr>
        <w:ind w:left="3960" w:hanging="360"/>
      </w:pPr>
      <w:rPr>
        <w:rFonts w:ascii="Courier New" w:hAnsi="Courier New" w:cs="Courier New" w:hint="default"/>
      </w:rPr>
    </w:lvl>
    <w:lvl w:ilvl="5" w:tplc="04260005">
      <w:start w:val="1"/>
      <w:numFmt w:val="bullet"/>
      <w:lvlText w:val=""/>
      <w:lvlJc w:val="left"/>
      <w:pPr>
        <w:ind w:left="4680" w:hanging="360"/>
      </w:pPr>
      <w:rPr>
        <w:rFonts w:ascii="Wingdings" w:hAnsi="Wingdings" w:hint="default"/>
      </w:rPr>
    </w:lvl>
    <w:lvl w:ilvl="6" w:tplc="04260001">
      <w:start w:val="1"/>
      <w:numFmt w:val="bullet"/>
      <w:lvlText w:val=""/>
      <w:lvlJc w:val="left"/>
      <w:pPr>
        <w:ind w:left="5400" w:hanging="360"/>
      </w:pPr>
      <w:rPr>
        <w:rFonts w:ascii="Symbol" w:hAnsi="Symbol" w:hint="default"/>
      </w:rPr>
    </w:lvl>
    <w:lvl w:ilvl="7" w:tplc="04260003">
      <w:start w:val="1"/>
      <w:numFmt w:val="bullet"/>
      <w:lvlText w:val="o"/>
      <w:lvlJc w:val="left"/>
      <w:pPr>
        <w:ind w:left="6120" w:hanging="360"/>
      </w:pPr>
      <w:rPr>
        <w:rFonts w:ascii="Courier New" w:hAnsi="Courier New" w:cs="Courier New" w:hint="default"/>
      </w:rPr>
    </w:lvl>
    <w:lvl w:ilvl="8" w:tplc="04260005">
      <w:start w:val="1"/>
      <w:numFmt w:val="bullet"/>
      <w:lvlText w:val=""/>
      <w:lvlJc w:val="left"/>
      <w:pPr>
        <w:ind w:left="6840" w:hanging="360"/>
      </w:pPr>
      <w:rPr>
        <w:rFonts w:ascii="Wingdings" w:hAnsi="Wingdings" w:hint="default"/>
      </w:rPr>
    </w:lvl>
  </w:abstractNum>
  <w:abstractNum w:abstractNumId="2" w15:restartNumberingAfterBreak="0">
    <w:nsid w:val="7697468F"/>
    <w:multiLevelType w:val="multilevel"/>
    <w:tmpl w:val="34EA7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4245895">
    <w:abstractNumId w:val="2"/>
  </w:num>
  <w:num w:numId="2" w16cid:durableId="783810791">
    <w:abstractNumId w:val="0"/>
  </w:num>
  <w:num w:numId="3" w16cid:durableId="1218669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revisionView w:formatting="0"/>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C1A"/>
    <w:rsid w:val="000002DE"/>
    <w:rsid w:val="00000A5E"/>
    <w:rsid w:val="00005006"/>
    <w:rsid w:val="00005CE3"/>
    <w:rsid w:val="00005D1A"/>
    <w:rsid w:val="00012930"/>
    <w:rsid w:val="00012E7F"/>
    <w:rsid w:val="000153C0"/>
    <w:rsid w:val="00015BA4"/>
    <w:rsid w:val="00020D98"/>
    <w:rsid w:val="00022257"/>
    <w:rsid w:val="00024126"/>
    <w:rsid w:val="00024282"/>
    <w:rsid w:val="0002599A"/>
    <w:rsid w:val="00026149"/>
    <w:rsid w:val="00032977"/>
    <w:rsid w:val="000329DB"/>
    <w:rsid w:val="00032A04"/>
    <w:rsid w:val="00033A3C"/>
    <w:rsid w:val="00034161"/>
    <w:rsid w:val="0003440B"/>
    <w:rsid w:val="0003617C"/>
    <w:rsid w:val="00036C24"/>
    <w:rsid w:val="0004081A"/>
    <w:rsid w:val="000422E4"/>
    <w:rsid w:val="000432EA"/>
    <w:rsid w:val="00045FE6"/>
    <w:rsid w:val="000545FD"/>
    <w:rsid w:val="0005670F"/>
    <w:rsid w:val="00056FF2"/>
    <w:rsid w:val="00057851"/>
    <w:rsid w:val="00057855"/>
    <w:rsid w:val="000579F9"/>
    <w:rsid w:val="00057B83"/>
    <w:rsid w:val="000603E3"/>
    <w:rsid w:val="00062AED"/>
    <w:rsid w:val="0006348F"/>
    <w:rsid w:val="000641CF"/>
    <w:rsid w:val="0006456D"/>
    <w:rsid w:val="00065746"/>
    <w:rsid w:val="00066635"/>
    <w:rsid w:val="000670EB"/>
    <w:rsid w:val="000735DD"/>
    <w:rsid w:val="00077D54"/>
    <w:rsid w:val="00081416"/>
    <w:rsid w:val="00083774"/>
    <w:rsid w:val="0008442A"/>
    <w:rsid w:val="00084D89"/>
    <w:rsid w:val="00085256"/>
    <w:rsid w:val="00086D4A"/>
    <w:rsid w:val="00093501"/>
    <w:rsid w:val="000A115A"/>
    <w:rsid w:val="000A17AC"/>
    <w:rsid w:val="000A3231"/>
    <w:rsid w:val="000A3B8C"/>
    <w:rsid w:val="000A4126"/>
    <w:rsid w:val="000A7918"/>
    <w:rsid w:val="000B26C8"/>
    <w:rsid w:val="000B2CF9"/>
    <w:rsid w:val="000B6947"/>
    <w:rsid w:val="000C1ED0"/>
    <w:rsid w:val="000C2A61"/>
    <w:rsid w:val="000C5C19"/>
    <w:rsid w:val="000C7157"/>
    <w:rsid w:val="000C750C"/>
    <w:rsid w:val="000D07DD"/>
    <w:rsid w:val="000D1FD6"/>
    <w:rsid w:val="000D41CC"/>
    <w:rsid w:val="000D4CA2"/>
    <w:rsid w:val="000D6CCB"/>
    <w:rsid w:val="000E1FB3"/>
    <w:rsid w:val="000E4E73"/>
    <w:rsid w:val="000E5B1C"/>
    <w:rsid w:val="000E7B12"/>
    <w:rsid w:val="000F0216"/>
    <w:rsid w:val="000F28E5"/>
    <w:rsid w:val="000F62E2"/>
    <w:rsid w:val="000F6EB8"/>
    <w:rsid w:val="000F7DEB"/>
    <w:rsid w:val="0010130A"/>
    <w:rsid w:val="00102723"/>
    <w:rsid w:val="00102AE5"/>
    <w:rsid w:val="00102F23"/>
    <w:rsid w:val="001030B6"/>
    <w:rsid w:val="001031FE"/>
    <w:rsid w:val="00105FA5"/>
    <w:rsid w:val="00107316"/>
    <w:rsid w:val="00111741"/>
    <w:rsid w:val="001118A6"/>
    <w:rsid w:val="0011231A"/>
    <w:rsid w:val="001137D0"/>
    <w:rsid w:val="001157D9"/>
    <w:rsid w:val="00116AEE"/>
    <w:rsid w:val="001171E2"/>
    <w:rsid w:val="00117693"/>
    <w:rsid w:val="00117771"/>
    <w:rsid w:val="00117F2B"/>
    <w:rsid w:val="00125AD2"/>
    <w:rsid w:val="0013268E"/>
    <w:rsid w:val="0013408F"/>
    <w:rsid w:val="00134B57"/>
    <w:rsid w:val="0013723B"/>
    <w:rsid w:val="00140854"/>
    <w:rsid w:val="00142637"/>
    <w:rsid w:val="00143B48"/>
    <w:rsid w:val="0014431B"/>
    <w:rsid w:val="00144ECA"/>
    <w:rsid w:val="00144F6F"/>
    <w:rsid w:val="00162ABA"/>
    <w:rsid w:val="00162FF2"/>
    <w:rsid w:val="0016364B"/>
    <w:rsid w:val="00165070"/>
    <w:rsid w:val="00165943"/>
    <w:rsid w:val="00165B1F"/>
    <w:rsid w:val="00165E04"/>
    <w:rsid w:val="00170D5B"/>
    <w:rsid w:val="00171CB2"/>
    <w:rsid w:val="00172A26"/>
    <w:rsid w:val="00172E8D"/>
    <w:rsid w:val="00173796"/>
    <w:rsid w:val="00174062"/>
    <w:rsid w:val="00174574"/>
    <w:rsid w:val="001774C4"/>
    <w:rsid w:val="00177AFA"/>
    <w:rsid w:val="00181BF7"/>
    <w:rsid w:val="001828BD"/>
    <w:rsid w:val="00185A1D"/>
    <w:rsid w:val="00185CE1"/>
    <w:rsid w:val="00193FAC"/>
    <w:rsid w:val="00194799"/>
    <w:rsid w:val="0019656E"/>
    <w:rsid w:val="00197CE0"/>
    <w:rsid w:val="001A179D"/>
    <w:rsid w:val="001A209B"/>
    <w:rsid w:val="001A2363"/>
    <w:rsid w:val="001A4D44"/>
    <w:rsid w:val="001A59DF"/>
    <w:rsid w:val="001C02C3"/>
    <w:rsid w:val="001C0624"/>
    <w:rsid w:val="001C0F65"/>
    <w:rsid w:val="001C5034"/>
    <w:rsid w:val="001D0FA3"/>
    <w:rsid w:val="001D1621"/>
    <w:rsid w:val="001D1C80"/>
    <w:rsid w:val="001D399B"/>
    <w:rsid w:val="001D3BB7"/>
    <w:rsid w:val="001D610A"/>
    <w:rsid w:val="001E165A"/>
    <w:rsid w:val="001E2237"/>
    <w:rsid w:val="001F27CB"/>
    <w:rsid w:val="001F4285"/>
    <w:rsid w:val="001F4576"/>
    <w:rsid w:val="001F6261"/>
    <w:rsid w:val="001F6767"/>
    <w:rsid w:val="001F718E"/>
    <w:rsid w:val="002015EE"/>
    <w:rsid w:val="00201844"/>
    <w:rsid w:val="00201928"/>
    <w:rsid w:val="00202333"/>
    <w:rsid w:val="00210598"/>
    <w:rsid w:val="0021120D"/>
    <w:rsid w:val="00212534"/>
    <w:rsid w:val="00213A1B"/>
    <w:rsid w:val="002200D5"/>
    <w:rsid w:val="00222E62"/>
    <w:rsid w:val="0022349A"/>
    <w:rsid w:val="00224F28"/>
    <w:rsid w:val="0022767A"/>
    <w:rsid w:val="00232AE5"/>
    <w:rsid w:val="00233659"/>
    <w:rsid w:val="00233781"/>
    <w:rsid w:val="00233CAD"/>
    <w:rsid w:val="0023526D"/>
    <w:rsid w:val="00235C13"/>
    <w:rsid w:val="0024213D"/>
    <w:rsid w:val="002432F1"/>
    <w:rsid w:val="00243685"/>
    <w:rsid w:val="0024601F"/>
    <w:rsid w:val="00251F88"/>
    <w:rsid w:val="0025380A"/>
    <w:rsid w:val="00254887"/>
    <w:rsid w:val="00254D25"/>
    <w:rsid w:val="00257017"/>
    <w:rsid w:val="0026093E"/>
    <w:rsid w:val="00261557"/>
    <w:rsid w:val="002620E4"/>
    <w:rsid w:val="002642EC"/>
    <w:rsid w:val="00264C24"/>
    <w:rsid w:val="0026509D"/>
    <w:rsid w:val="0027004C"/>
    <w:rsid w:val="00270A47"/>
    <w:rsid w:val="002718A5"/>
    <w:rsid w:val="00271BAF"/>
    <w:rsid w:val="00273A82"/>
    <w:rsid w:val="00277468"/>
    <w:rsid w:val="00280918"/>
    <w:rsid w:val="00281BF5"/>
    <w:rsid w:val="0028729F"/>
    <w:rsid w:val="0028735D"/>
    <w:rsid w:val="00287B42"/>
    <w:rsid w:val="002924A5"/>
    <w:rsid w:val="00292F03"/>
    <w:rsid w:val="00295222"/>
    <w:rsid w:val="00295606"/>
    <w:rsid w:val="0029563E"/>
    <w:rsid w:val="002964F8"/>
    <w:rsid w:val="00296B82"/>
    <w:rsid w:val="00297465"/>
    <w:rsid w:val="002A07A1"/>
    <w:rsid w:val="002A17C8"/>
    <w:rsid w:val="002A2406"/>
    <w:rsid w:val="002A6011"/>
    <w:rsid w:val="002A6A4D"/>
    <w:rsid w:val="002B110B"/>
    <w:rsid w:val="002B1C27"/>
    <w:rsid w:val="002B7FAF"/>
    <w:rsid w:val="002C2732"/>
    <w:rsid w:val="002C45C5"/>
    <w:rsid w:val="002C5438"/>
    <w:rsid w:val="002C59E4"/>
    <w:rsid w:val="002D1EAB"/>
    <w:rsid w:val="002D39FC"/>
    <w:rsid w:val="002D4F60"/>
    <w:rsid w:val="002D627E"/>
    <w:rsid w:val="002D77A1"/>
    <w:rsid w:val="002E21FC"/>
    <w:rsid w:val="002E2FC5"/>
    <w:rsid w:val="002F3374"/>
    <w:rsid w:val="002F35F3"/>
    <w:rsid w:val="002F4E6C"/>
    <w:rsid w:val="002F4EEE"/>
    <w:rsid w:val="002F5A25"/>
    <w:rsid w:val="002F6D33"/>
    <w:rsid w:val="002F71FD"/>
    <w:rsid w:val="002F7E5E"/>
    <w:rsid w:val="003004C0"/>
    <w:rsid w:val="0030476B"/>
    <w:rsid w:val="00314DA4"/>
    <w:rsid w:val="00315CE5"/>
    <w:rsid w:val="00317500"/>
    <w:rsid w:val="00317F02"/>
    <w:rsid w:val="00320F86"/>
    <w:rsid w:val="00325D8D"/>
    <w:rsid w:val="00326795"/>
    <w:rsid w:val="00326DDD"/>
    <w:rsid w:val="0032773A"/>
    <w:rsid w:val="00335416"/>
    <w:rsid w:val="0033578C"/>
    <w:rsid w:val="00335975"/>
    <w:rsid w:val="00337814"/>
    <w:rsid w:val="00344CC8"/>
    <w:rsid w:val="00346753"/>
    <w:rsid w:val="00346C28"/>
    <w:rsid w:val="0035180F"/>
    <w:rsid w:val="00351951"/>
    <w:rsid w:val="003519DF"/>
    <w:rsid w:val="00353656"/>
    <w:rsid w:val="003541CE"/>
    <w:rsid w:val="003543A7"/>
    <w:rsid w:val="003544F5"/>
    <w:rsid w:val="003552D2"/>
    <w:rsid w:val="00355F19"/>
    <w:rsid w:val="00356864"/>
    <w:rsid w:val="00361144"/>
    <w:rsid w:val="003614A4"/>
    <w:rsid w:val="00365F4A"/>
    <w:rsid w:val="0036608A"/>
    <w:rsid w:val="0036669B"/>
    <w:rsid w:val="0036786F"/>
    <w:rsid w:val="00370CD5"/>
    <w:rsid w:val="0037248C"/>
    <w:rsid w:val="0037549C"/>
    <w:rsid w:val="00375B40"/>
    <w:rsid w:val="003764AE"/>
    <w:rsid w:val="003774C2"/>
    <w:rsid w:val="00377BF4"/>
    <w:rsid w:val="003802B7"/>
    <w:rsid w:val="00384AA9"/>
    <w:rsid w:val="00385A53"/>
    <w:rsid w:val="003904A5"/>
    <w:rsid w:val="00393076"/>
    <w:rsid w:val="00395C10"/>
    <w:rsid w:val="0039630A"/>
    <w:rsid w:val="003A0C1A"/>
    <w:rsid w:val="003A188D"/>
    <w:rsid w:val="003A2067"/>
    <w:rsid w:val="003A2D57"/>
    <w:rsid w:val="003A5273"/>
    <w:rsid w:val="003A53C5"/>
    <w:rsid w:val="003A76FB"/>
    <w:rsid w:val="003B35B4"/>
    <w:rsid w:val="003B39AE"/>
    <w:rsid w:val="003B5B67"/>
    <w:rsid w:val="003B5F1D"/>
    <w:rsid w:val="003C07B2"/>
    <w:rsid w:val="003C25FE"/>
    <w:rsid w:val="003C283B"/>
    <w:rsid w:val="003C407A"/>
    <w:rsid w:val="003C5266"/>
    <w:rsid w:val="003C7273"/>
    <w:rsid w:val="003D5B00"/>
    <w:rsid w:val="003E1F68"/>
    <w:rsid w:val="003E5014"/>
    <w:rsid w:val="003E5090"/>
    <w:rsid w:val="003E5657"/>
    <w:rsid w:val="003E6229"/>
    <w:rsid w:val="003E6363"/>
    <w:rsid w:val="003E70C3"/>
    <w:rsid w:val="003F15FA"/>
    <w:rsid w:val="003F1FED"/>
    <w:rsid w:val="003F7741"/>
    <w:rsid w:val="00401103"/>
    <w:rsid w:val="0040507A"/>
    <w:rsid w:val="00406AB4"/>
    <w:rsid w:val="00407531"/>
    <w:rsid w:val="00410C0C"/>
    <w:rsid w:val="004133F3"/>
    <w:rsid w:val="00414E8B"/>
    <w:rsid w:val="00415B4C"/>
    <w:rsid w:val="0042624E"/>
    <w:rsid w:val="004302C0"/>
    <w:rsid w:val="00433166"/>
    <w:rsid w:val="00433D7C"/>
    <w:rsid w:val="004343E6"/>
    <w:rsid w:val="00434717"/>
    <w:rsid w:val="00435F3F"/>
    <w:rsid w:val="0043678C"/>
    <w:rsid w:val="0044021B"/>
    <w:rsid w:val="004409B0"/>
    <w:rsid w:val="004452E9"/>
    <w:rsid w:val="00447A04"/>
    <w:rsid w:val="00447A0F"/>
    <w:rsid w:val="00453516"/>
    <w:rsid w:val="00456FCB"/>
    <w:rsid w:val="0045734C"/>
    <w:rsid w:val="00457A91"/>
    <w:rsid w:val="00463F9D"/>
    <w:rsid w:val="004676BF"/>
    <w:rsid w:val="004715DC"/>
    <w:rsid w:val="004729BD"/>
    <w:rsid w:val="00473C7D"/>
    <w:rsid w:val="00476C0D"/>
    <w:rsid w:val="004800EC"/>
    <w:rsid w:val="00481533"/>
    <w:rsid w:val="00483E49"/>
    <w:rsid w:val="00484A19"/>
    <w:rsid w:val="0048571D"/>
    <w:rsid w:val="00485869"/>
    <w:rsid w:val="004924EA"/>
    <w:rsid w:val="004928C9"/>
    <w:rsid w:val="00493585"/>
    <w:rsid w:val="0049787C"/>
    <w:rsid w:val="004A32C0"/>
    <w:rsid w:val="004A5894"/>
    <w:rsid w:val="004A6269"/>
    <w:rsid w:val="004B1A97"/>
    <w:rsid w:val="004B2868"/>
    <w:rsid w:val="004B730A"/>
    <w:rsid w:val="004B78DE"/>
    <w:rsid w:val="004C47B9"/>
    <w:rsid w:val="004C49B2"/>
    <w:rsid w:val="004C65FB"/>
    <w:rsid w:val="004D02E3"/>
    <w:rsid w:val="004D2737"/>
    <w:rsid w:val="004D3B84"/>
    <w:rsid w:val="004D3FAA"/>
    <w:rsid w:val="004D41BD"/>
    <w:rsid w:val="004D4223"/>
    <w:rsid w:val="004D4B93"/>
    <w:rsid w:val="004D6E22"/>
    <w:rsid w:val="004E233F"/>
    <w:rsid w:val="004E2757"/>
    <w:rsid w:val="004E4824"/>
    <w:rsid w:val="004E58A1"/>
    <w:rsid w:val="004F04BE"/>
    <w:rsid w:val="004F679F"/>
    <w:rsid w:val="0050407C"/>
    <w:rsid w:val="005045EB"/>
    <w:rsid w:val="00504947"/>
    <w:rsid w:val="00504DEE"/>
    <w:rsid w:val="00506495"/>
    <w:rsid w:val="00513182"/>
    <w:rsid w:val="005143E7"/>
    <w:rsid w:val="00514534"/>
    <w:rsid w:val="00515D5E"/>
    <w:rsid w:val="0051705B"/>
    <w:rsid w:val="0052143B"/>
    <w:rsid w:val="00523571"/>
    <w:rsid w:val="00524938"/>
    <w:rsid w:val="005262E6"/>
    <w:rsid w:val="005303D4"/>
    <w:rsid w:val="0053232D"/>
    <w:rsid w:val="00536832"/>
    <w:rsid w:val="00542729"/>
    <w:rsid w:val="00542793"/>
    <w:rsid w:val="0054380B"/>
    <w:rsid w:val="00544B53"/>
    <w:rsid w:val="00547CBB"/>
    <w:rsid w:val="00550D97"/>
    <w:rsid w:val="00551069"/>
    <w:rsid w:val="005579D8"/>
    <w:rsid w:val="00560BE0"/>
    <w:rsid w:val="00560FF3"/>
    <w:rsid w:val="00563DF9"/>
    <w:rsid w:val="00563F62"/>
    <w:rsid w:val="00565819"/>
    <w:rsid w:val="00566FB1"/>
    <w:rsid w:val="005672A3"/>
    <w:rsid w:val="0057176B"/>
    <w:rsid w:val="005757E9"/>
    <w:rsid w:val="00580484"/>
    <w:rsid w:val="00584837"/>
    <w:rsid w:val="00585829"/>
    <w:rsid w:val="00585EB6"/>
    <w:rsid w:val="0058976C"/>
    <w:rsid w:val="00590C2A"/>
    <w:rsid w:val="005919C1"/>
    <w:rsid w:val="005931BC"/>
    <w:rsid w:val="00594BBD"/>
    <w:rsid w:val="00594FE0"/>
    <w:rsid w:val="005A177F"/>
    <w:rsid w:val="005A3570"/>
    <w:rsid w:val="005A3EC9"/>
    <w:rsid w:val="005B12AA"/>
    <w:rsid w:val="005B14D5"/>
    <w:rsid w:val="005B2014"/>
    <w:rsid w:val="005B355B"/>
    <w:rsid w:val="005B3767"/>
    <w:rsid w:val="005C439A"/>
    <w:rsid w:val="005C4DA5"/>
    <w:rsid w:val="005C6049"/>
    <w:rsid w:val="005D450F"/>
    <w:rsid w:val="005D4D75"/>
    <w:rsid w:val="005D6DD3"/>
    <w:rsid w:val="005D7ABC"/>
    <w:rsid w:val="005E0749"/>
    <w:rsid w:val="005E7F73"/>
    <w:rsid w:val="005F0436"/>
    <w:rsid w:val="005F194D"/>
    <w:rsid w:val="005F2EF7"/>
    <w:rsid w:val="005F3978"/>
    <w:rsid w:val="005F4963"/>
    <w:rsid w:val="005F52DA"/>
    <w:rsid w:val="005F774A"/>
    <w:rsid w:val="00603152"/>
    <w:rsid w:val="00606144"/>
    <w:rsid w:val="006117A2"/>
    <w:rsid w:val="00611D35"/>
    <w:rsid w:val="00612CD4"/>
    <w:rsid w:val="00614CD4"/>
    <w:rsid w:val="006211BB"/>
    <w:rsid w:val="0062203D"/>
    <w:rsid w:val="0062266A"/>
    <w:rsid w:val="0062274E"/>
    <w:rsid w:val="006232BB"/>
    <w:rsid w:val="00627D71"/>
    <w:rsid w:val="006327EE"/>
    <w:rsid w:val="006361CB"/>
    <w:rsid w:val="00636621"/>
    <w:rsid w:val="00636E1D"/>
    <w:rsid w:val="0064012E"/>
    <w:rsid w:val="00640217"/>
    <w:rsid w:val="006407F1"/>
    <w:rsid w:val="006423DB"/>
    <w:rsid w:val="00642D53"/>
    <w:rsid w:val="0064349D"/>
    <w:rsid w:val="00644D0B"/>
    <w:rsid w:val="00645482"/>
    <w:rsid w:val="00647CB0"/>
    <w:rsid w:val="00650529"/>
    <w:rsid w:val="00650E55"/>
    <w:rsid w:val="006520E0"/>
    <w:rsid w:val="00654972"/>
    <w:rsid w:val="0065543F"/>
    <w:rsid w:val="0066250D"/>
    <w:rsid w:val="00672812"/>
    <w:rsid w:val="00673BD2"/>
    <w:rsid w:val="00674D3C"/>
    <w:rsid w:val="00675455"/>
    <w:rsid w:val="0067660B"/>
    <w:rsid w:val="00681597"/>
    <w:rsid w:val="00685F1A"/>
    <w:rsid w:val="00686396"/>
    <w:rsid w:val="006864AA"/>
    <w:rsid w:val="00686FCD"/>
    <w:rsid w:val="00691854"/>
    <w:rsid w:val="00691F2D"/>
    <w:rsid w:val="0069416D"/>
    <w:rsid w:val="00694CF6"/>
    <w:rsid w:val="006970A3"/>
    <w:rsid w:val="006A3D72"/>
    <w:rsid w:val="006A468C"/>
    <w:rsid w:val="006A6D10"/>
    <w:rsid w:val="006B16E0"/>
    <w:rsid w:val="006B227D"/>
    <w:rsid w:val="006B2AB9"/>
    <w:rsid w:val="006B3E9F"/>
    <w:rsid w:val="006B5268"/>
    <w:rsid w:val="006B7944"/>
    <w:rsid w:val="006C47FB"/>
    <w:rsid w:val="006C6188"/>
    <w:rsid w:val="006C6978"/>
    <w:rsid w:val="006D0AF9"/>
    <w:rsid w:val="006D0CE0"/>
    <w:rsid w:val="006D1070"/>
    <w:rsid w:val="006D53F9"/>
    <w:rsid w:val="006D7E43"/>
    <w:rsid w:val="006E27BC"/>
    <w:rsid w:val="006E5671"/>
    <w:rsid w:val="006E6D12"/>
    <w:rsid w:val="006F040E"/>
    <w:rsid w:val="006F0B9C"/>
    <w:rsid w:val="006F1380"/>
    <w:rsid w:val="006F47C2"/>
    <w:rsid w:val="006F4C38"/>
    <w:rsid w:val="006F7408"/>
    <w:rsid w:val="007110DB"/>
    <w:rsid w:val="007114CB"/>
    <w:rsid w:val="00712ED9"/>
    <w:rsid w:val="00716E27"/>
    <w:rsid w:val="00722EA1"/>
    <w:rsid w:val="0072402F"/>
    <w:rsid w:val="00726202"/>
    <w:rsid w:val="00727FFC"/>
    <w:rsid w:val="00734F4D"/>
    <w:rsid w:val="0074033B"/>
    <w:rsid w:val="00742EBF"/>
    <w:rsid w:val="0074376F"/>
    <w:rsid w:val="00745225"/>
    <w:rsid w:val="00745C86"/>
    <w:rsid w:val="007520C2"/>
    <w:rsid w:val="00753FBD"/>
    <w:rsid w:val="00754B4B"/>
    <w:rsid w:val="00756610"/>
    <w:rsid w:val="00756EBF"/>
    <w:rsid w:val="0076347F"/>
    <w:rsid w:val="00763E24"/>
    <w:rsid w:val="007667D8"/>
    <w:rsid w:val="00767872"/>
    <w:rsid w:val="007700B4"/>
    <w:rsid w:val="00772EE3"/>
    <w:rsid w:val="0077319C"/>
    <w:rsid w:val="007735CE"/>
    <w:rsid w:val="00775DF0"/>
    <w:rsid w:val="0077638B"/>
    <w:rsid w:val="00777D6E"/>
    <w:rsid w:val="007845D6"/>
    <w:rsid w:val="0079121F"/>
    <w:rsid w:val="00791E34"/>
    <w:rsid w:val="007921ED"/>
    <w:rsid w:val="00792FA2"/>
    <w:rsid w:val="00793B1E"/>
    <w:rsid w:val="00794402"/>
    <w:rsid w:val="00797CCC"/>
    <w:rsid w:val="007A1E59"/>
    <w:rsid w:val="007A2576"/>
    <w:rsid w:val="007A5520"/>
    <w:rsid w:val="007A650E"/>
    <w:rsid w:val="007A6D32"/>
    <w:rsid w:val="007B0C46"/>
    <w:rsid w:val="007B30F2"/>
    <w:rsid w:val="007B60D0"/>
    <w:rsid w:val="007B7ACC"/>
    <w:rsid w:val="007C1C0A"/>
    <w:rsid w:val="007C3ACB"/>
    <w:rsid w:val="007C55A8"/>
    <w:rsid w:val="007C5C14"/>
    <w:rsid w:val="007C6382"/>
    <w:rsid w:val="007C704A"/>
    <w:rsid w:val="007D1C08"/>
    <w:rsid w:val="007D2889"/>
    <w:rsid w:val="007D41CE"/>
    <w:rsid w:val="007D46BD"/>
    <w:rsid w:val="007D48F0"/>
    <w:rsid w:val="007D5849"/>
    <w:rsid w:val="007D78E1"/>
    <w:rsid w:val="007E0B88"/>
    <w:rsid w:val="007E0E44"/>
    <w:rsid w:val="007E333E"/>
    <w:rsid w:val="007E46D7"/>
    <w:rsid w:val="007E4BB6"/>
    <w:rsid w:val="007E7513"/>
    <w:rsid w:val="007F3010"/>
    <w:rsid w:val="007F326E"/>
    <w:rsid w:val="008013BE"/>
    <w:rsid w:val="0080202A"/>
    <w:rsid w:val="00802F4E"/>
    <w:rsid w:val="008036F4"/>
    <w:rsid w:val="008037CB"/>
    <w:rsid w:val="008042F2"/>
    <w:rsid w:val="00805E30"/>
    <w:rsid w:val="00814479"/>
    <w:rsid w:val="008164F2"/>
    <w:rsid w:val="00817BC6"/>
    <w:rsid w:val="00820C42"/>
    <w:rsid w:val="00823735"/>
    <w:rsid w:val="00826E56"/>
    <w:rsid w:val="00827CFA"/>
    <w:rsid w:val="00831682"/>
    <w:rsid w:val="0083390F"/>
    <w:rsid w:val="00837E64"/>
    <w:rsid w:val="00840A22"/>
    <w:rsid w:val="00843531"/>
    <w:rsid w:val="008464D2"/>
    <w:rsid w:val="00846BB7"/>
    <w:rsid w:val="008477D6"/>
    <w:rsid w:val="008518EC"/>
    <w:rsid w:val="00852936"/>
    <w:rsid w:val="00852E0D"/>
    <w:rsid w:val="00853D14"/>
    <w:rsid w:val="00862367"/>
    <w:rsid w:val="008643C7"/>
    <w:rsid w:val="00864963"/>
    <w:rsid w:val="0086503E"/>
    <w:rsid w:val="008664E8"/>
    <w:rsid w:val="00870F06"/>
    <w:rsid w:val="00871639"/>
    <w:rsid w:val="00872DFC"/>
    <w:rsid w:val="00873DBF"/>
    <w:rsid w:val="00873F6E"/>
    <w:rsid w:val="00873FFD"/>
    <w:rsid w:val="00875A3D"/>
    <w:rsid w:val="008761CF"/>
    <w:rsid w:val="00880C8E"/>
    <w:rsid w:val="0088413E"/>
    <w:rsid w:val="008847EF"/>
    <w:rsid w:val="00887F12"/>
    <w:rsid w:val="00890100"/>
    <w:rsid w:val="00891794"/>
    <w:rsid w:val="00893882"/>
    <w:rsid w:val="00893BD7"/>
    <w:rsid w:val="008963BC"/>
    <w:rsid w:val="008A5A0C"/>
    <w:rsid w:val="008A5A56"/>
    <w:rsid w:val="008B0687"/>
    <w:rsid w:val="008B16AA"/>
    <w:rsid w:val="008B2EF4"/>
    <w:rsid w:val="008B4608"/>
    <w:rsid w:val="008B72D5"/>
    <w:rsid w:val="008C3376"/>
    <w:rsid w:val="008C3772"/>
    <w:rsid w:val="008C38B1"/>
    <w:rsid w:val="008C6570"/>
    <w:rsid w:val="008C6E1D"/>
    <w:rsid w:val="008D04B2"/>
    <w:rsid w:val="008D1225"/>
    <w:rsid w:val="008D1234"/>
    <w:rsid w:val="008D15ED"/>
    <w:rsid w:val="008D64D9"/>
    <w:rsid w:val="008D7E10"/>
    <w:rsid w:val="008E1469"/>
    <w:rsid w:val="008E1509"/>
    <w:rsid w:val="008E1AE1"/>
    <w:rsid w:val="008E3A1C"/>
    <w:rsid w:val="008E61B5"/>
    <w:rsid w:val="008E6E52"/>
    <w:rsid w:val="008E6EDC"/>
    <w:rsid w:val="008F0343"/>
    <w:rsid w:val="008F36EB"/>
    <w:rsid w:val="008F38B9"/>
    <w:rsid w:val="0090228B"/>
    <w:rsid w:val="00905980"/>
    <w:rsid w:val="009157AC"/>
    <w:rsid w:val="0092217C"/>
    <w:rsid w:val="00922670"/>
    <w:rsid w:val="00924D93"/>
    <w:rsid w:val="00925122"/>
    <w:rsid w:val="0092531F"/>
    <w:rsid w:val="00934788"/>
    <w:rsid w:val="009359C9"/>
    <w:rsid w:val="00936186"/>
    <w:rsid w:val="009403A2"/>
    <w:rsid w:val="0094368E"/>
    <w:rsid w:val="0094652F"/>
    <w:rsid w:val="009472B4"/>
    <w:rsid w:val="0094768F"/>
    <w:rsid w:val="00951C19"/>
    <w:rsid w:val="00956041"/>
    <w:rsid w:val="00956F7B"/>
    <w:rsid w:val="00960BDF"/>
    <w:rsid w:val="0097020B"/>
    <w:rsid w:val="009722D5"/>
    <w:rsid w:val="00972419"/>
    <w:rsid w:val="00973527"/>
    <w:rsid w:val="00973E93"/>
    <w:rsid w:val="00977B6D"/>
    <w:rsid w:val="0097DD4D"/>
    <w:rsid w:val="009861CC"/>
    <w:rsid w:val="00986A5B"/>
    <w:rsid w:val="009913EF"/>
    <w:rsid w:val="00993EA0"/>
    <w:rsid w:val="00993FD3"/>
    <w:rsid w:val="00995744"/>
    <w:rsid w:val="00995DFE"/>
    <w:rsid w:val="00996C79"/>
    <w:rsid w:val="009A235A"/>
    <w:rsid w:val="009A4CF6"/>
    <w:rsid w:val="009A4E91"/>
    <w:rsid w:val="009A5330"/>
    <w:rsid w:val="009A68A2"/>
    <w:rsid w:val="009A7922"/>
    <w:rsid w:val="009B1047"/>
    <w:rsid w:val="009B1179"/>
    <w:rsid w:val="009B1294"/>
    <w:rsid w:val="009B133A"/>
    <w:rsid w:val="009B6FDF"/>
    <w:rsid w:val="009C193F"/>
    <w:rsid w:val="009C364F"/>
    <w:rsid w:val="009C40B9"/>
    <w:rsid w:val="009D1105"/>
    <w:rsid w:val="009D1D0C"/>
    <w:rsid w:val="009D414B"/>
    <w:rsid w:val="009D6B3A"/>
    <w:rsid w:val="009D74F5"/>
    <w:rsid w:val="009E0D73"/>
    <w:rsid w:val="009E705A"/>
    <w:rsid w:val="009F56E2"/>
    <w:rsid w:val="009F5B5E"/>
    <w:rsid w:val="009F5F40"/>
    <w:rsid w:val="009F780C"/>
    <w:rsid w:val="009FD34C"/>
    <w:rsid w:val="00A008BB"/>
    <w:rsid w:val="00A00D2A"/>
    <w:rsid w:val="00A01AA8"/>
    <w:rsid w:val="00A0540D"/>
    <w:rsid w:val="00A0646C"/>
    <w:rsid w:val="00A06F8B"/>
    <w:rsid w:val="00A07257"/>
    <w:rsid w:val="00A143C5"/>
    <w:rsid w:val="00A15DF3"/>
    <w:rsid w:val="00A15FA1"/>
    <w:rsid w:val="00A162F1"/>
    <w:rsid w:val="00A1696B"/>
    <w:rsid w:val="00A20DD9"/>
    <w:rsid w:val="00A21D13"/>
    <w:rsid w:val="00A23083"/>
    <w:rsid w:val="00A2521F"/>
    <w:rsid w:val="00A27EDF"/>
    <w:rsid w:val="00A308D7"/>
    <w:rsid w:val="00A327C1"/>
    <w:rsid w:val="00A355A6"/>
    <w:rsid w:val="00A35AF6"/>
    <w:rsid w:val="00A36F49"/>
    <w:rsid w:val="00A4594C"/>
    <w:rsid w:val="00A47BCC"/>
    <w:rsid w:val="00A53DDB"/>
    <w:rsid w:val="00A55A50"/>
    <w:rsid w:val="00A57CA3"/>
    <w:rsid w:val="00A6409C"/>
    <w:rsid w:val="00A67E0B"/>
    <w:rsid w:val="00A706D5"/>
    <w:rsid w:val="00A7148B"/>
    <w:rsid w:val="00A72B25"/>
    <w:rsid w:val="00A73640"/>
    <w:rsid w:val="00A739C5"/>
    <w:rsid w:val="00A73BBA"/>
    <w:rsid w:val="00A73D5B"/>
    <w:rsid w:val="00A74BCB"/>
    <w:rsid w:val="00A75F8C"/>
    <w:rsid w:val="00A80B9E"/>
    <w:rsid w:val="00A81777"/>
    <w:rsid w:val="00A81868"/>
    <w:rsid w:val="00A82C6A"/>
    <w:rsid w:val="00A84D19"/>
    <w:rsid w:val="00A91D33"/>
    <w:rsid w:val="00A93420"/>
    <w:rsid w:val="00A93F83"/>
    <w:rsid w:val="00A946DD"/>
    <w:rsid w:val="00A94C72"/>
    <w:rsid w:val="00A94FFC"/>
    <w:rsid w:val="00AA1755"/>
    <w:rsid w:val="00AA4D00"/>
    <w:rsid w:val="00AA5D12"/>
    <w:rsid w:val="00AA5E07"/>
    <w:rsid w:val="00AA7040"/>
    <w:rsid w:val="00AA7CAB"/>
    <w:rsid w:val="00AB08F4"/>
    <w:rsid w:val="00AB0A0E"/>
    <w:rsid w:val="00AB12AD"/>
    <w:rsid w:val="00AB1D32"/>
    <w:rsid w:val="00AB339D"/>
    <w:rsid w:val="00AB46D5"/>
    <w:rsid w:val="00AB51EA"/>
    <w:rsid w:val="00AB6581"/>
    <w:rsid w:val="00AB69A0"/>
    <w:rsid w:val="00AB776D"/>
    <w:rsid w:val="00AB79F7"/>
    <w:rsid w:val="00AC1F7F"/>
    <w:rsid w:val="00AC2141"/>
    <w:rsid w:val="00AC3178"/>
    <w:rsid w:val="00AC4598"/>
    <w:rsid w:val="00AC4698"/>
    <w:rsid w:val="00AC7D3A"/>
    <w:rsid w:val="00AD1910"/>
    <w:rsid w:val="00AD4982"/>
    <w:rsid w:val="00AD5976"/>
    <w:rsid w:val="00AD7690"/>
    <w:rsid w:val="00AE2499"/>
    <w:rsid w:val="00AE299C"/>
    <w:rsid w:val="00AE2CA9"/>
    <w:rsid w:val="00AE688F"/>
    <w:rsid w:val="00AE7786"/>
    <w:rsid w:val="00AF07D8"/>
    <w:rsid w:val="00AF12BD"/>
    <w:rsid w:val="00AF2AF4"/>
    <w:rsid w:val="00AF4C2D"/>
    <w:rsid w:val="00AF61D2"/>
    <w:rsid w:val="00AF7379"/>
    <w:rsid w:val="00AF75F4"/>
    <w:rsid w:val="00AF797B"/>
    <w:rsid w:val="00B00BE8"/>
    <w:rsid w:val="00B0317C"/>
    <w:rsid w:val="00B03341"/>
    <w:rsid w:val="00B05D5D"/>
    <w:rsid w:val="00B0647F"/>
    <w:rsid w:val="00B079B8"/>
    <w:rsid w:val="00B07E18"/>
    <w:rsid w:val="00B13B11"/>
    <w:rsid w:val="00B1508D"/>
    <w:rsid w:val="00B1513D"/>
    <w:rsid w:val="00B15350"/>
    <w:rsid w:val="00B1627B"/>
    <w:rsid w:val="00B2326D"/>
    <w:rsid w:val="00B24FFF"/>
    <w:rsid w:val="00B259CD"/>
    <w:rsid w:val="00B25EE0"/>
    <w:rsid w:val="00B2601B"/>
    <w:rsid w:val="00B266BB"/>
    <w:rsid w:val="00B3005A"/>
    <w:rsid w:val="00B30AB2"/>
    <w:rsid w:val="00B30F91"/>
    <w:rsid w:val="00B33479"/>
    <w:rsid w:val="00B346B7"/>
    <w:rsid w:val="00B34E3C"/>
    <w:rsid w:val="00B35DEF"/>
    <w:rsid w:val="00B35F15"/>
    <w:rsid w:val="00B36C0D"/>
    <w:rsid w:val="00B4024D"/>
    <w:rsid w:val="00B41800"/>
    <w:rsid w:val="00B42B98"/>
    <w:rsid w:val="00B447DF"/>
    <w:rsid w:val="00B5205D"/>
    <w:rsid w:val="00B52748"/>
    <w:rsid w:val="00B542F9"/>
    <w:rsid w:val="00B54602"/>
    <w:rsid w:val="00B550F0"/>
    <w:rsid w:val="00B60406"/>
    <w:rsid w:val="00B70114"/>
    <w:rsid w:val="00B7095E"/>
    <w:rsid w:val="00B71650"/>
    <w:rsid w:val="00B7209B"/>
    <w:rsid w:val="00B72B50"/>
    <w:rsid w:val="00B731A8"/>
    <w:rsid w:val="00B73AA1"/>
    <w:rsid w:val="00B7680D"/>
    <w:rsid w:val="00B77BB1"/>
    <w:rsid w:val="00B81660"/>
    <w:rsid w:val="00B8422C"/>
    <w:rsid w:val="00B86963"/>
    <w:rsid w:val="00B8772D"/>
    <w:rsid w:val="00B95E56"/>
    <w:rsid w:val="00BA3A69"/>
    <w:rsid w:val="00BA4CB4"/>
    <w:rsid w:val="00BA5FE7"/>
    <w:rsid w:val="00BA6F08"/>
    <w:rsid w:val="00BB51D3"/>
    <w:rsid w:val="00BB76BF"/>
    <w:rsid w:val="00BB7FF4"/>
    <w:rsid w:val="00BC01E2"/>
    <w:rsid w:val="00BC20C9"/>
    <w:rsid w:val="00BC4988"/>
    <w:rsid w:val="00BC7CA5"/>
    <w:rsid w:val="00BD1C00"/>
    <w:rsid w:val="00BD2AB9"/>
    <w:rsid w:val="00BD5731"/>
    <w:rsid w:val="00BD6550"/>
    <w:rsid w:val="00BE1829"/>
    <w:rsid w:val="00BE1CAB"/>
    <w:rsid w:val="00BE26ED"/>
    <w:rsid w:val="00BE3BEB"/>
    <w:rsid w:val="00BE3BFF"/>
    <w:rsid w:val="00BE4575"/>
    <w:rsid w:val="00BF0471"/>
    <w:rsid w:val="00BF2573"/>
    <w:rsid w:val="00BF2C19"/>
    <w:rsid w:val="00BF3423"/>
    <w:rsid w:val="00BF54E2"/>
    <w:rsid w:val="00BF7726"/>
    <w:rsid w:val="00C01E9D"/>
    <w:rsid w:val="00C040D7"/>
    <w:rsid w:val="00C0473D"/>
    <w:rsid w:val="00C05CD8"/>
    <w:rsid w:val="00C11715"/>
    <w:rsid w:val="00C16CF1"/>
    <w:rsid w:val="00C171C7"/>
    <w:rsid w:val="00C174A7"/>
    <w:rsid w:val="00C209DD"/>
    <w:rsid w:val="00C21EAD"/>
    <w:rsid w:val="00C22F88"/>
    <w:rsid w:val="00C24FD4"/>
    <w:rsid w:val="00C27940"/>
    <w:rsid w:val="00C31551"/>
    <w:rsid w:val="00C35798"/>
    <w:rsid w:val="00C35FF0"/>
    <w:rsid w:val="00C37058"/>
    <w:rsid w:val="00C37574"/>
    <w:rsid w:val="00C37D47"/>
    <w:rsid w:val="00C4253B"/>
    <w:rsid w:val="00C42649"/>
    <w:rsid w:val="00C4630B"/>
    <w:rsid w:val="00C47D60"/>
    <w:rsid w:val="00C50890"/>
    <w:rsid w:val="00C50F5D"/>
    <w:rsid w:val="00C517C8"/>
    <w:rsid w:val="00C519CD"/>
    <w:rsid w:val="00C53284"/>
    <w:rsid w:val="00C55023"/>
    <w:rsid w:val="00C5659D"/>
    <w:rsid w:val="00C57197"/>
    <w:rsid w:val="00C57CAE"/>
    <w:rsid w:val="00C614B3"/>
    <w:rsid w:val="00C65852"/>
    <w:rsid w:val="00C677D0"/>
    <w:rsid w:val="00C70E67"/>
    <w:rsid w:val="00C7213B"/>
    <w:rsid w:val="00C73DA2"/>
    <w:rsid w:val="00C75B8E"/>
    <w:rsid w:val="00C75C25"/>
    <w:rsid w:val="00C76DB1"/>
    <w:rsid w:val="00C81A71"/>
    <w:rsid w:val="00C8315D"/>
    <w:rsid w:val="00C83A43"/>
    <w:rsid w:val="00C869EF"/>
    <w:rsid w:val="00C902D5"/>
    <w:rsid w:val="00C903CC"/>
    <w:rsid w:val="00C93610"/>
    <w:rsid w:val="00C94290"/>
    <w:rsid w:val="00C96E3B"/>
    <w:rsid w:val="00CA3460"/>
    <w:rsid w:val="00CB1863"/>
    <w:rsid w:val="00CC087C"/>
    <w:rsid w:val="00CC2800"/>
    <w:rsid w:val="00CC3396"/>
    <w:rsid w:val="00CC4DB9"/>
    <w:rsid w:val="00CC7222"/>
    <w:rsid w:val="00CC75FB"/>
    <w:rsid w:val="00CD0B4C"/>
    <w:rsid w:val="00CD5253"/>
    <w:rsid w:val="00CE04B2"/>
    <w:rsid w:val="00CE0E3E"/>
    <w:rsid w:val="00CE41E2"/>
    <w:rsid w:val="00CE65C7"/>
    <w:rsid w:val="00CE6C06"/>
    <w:rsid w:val="00CF063D"/>
    <w:rsid w:val="00CF0E06"/>
    <w:rsid w:val="00CF23B6"/>
    <w:rsid w:val="00CF2EAD"/>
    <w:rsid w:val="00CF6EB0"/>
    <w:rsid w:val="00D0029F"/>
    <w:rsid w:val="00D00E56"/>
    <w:rsid w:val="00D030D4"/>
    <w:rsid w:val="00D06607"/>
    <w:rsid w:val="00D06EB1"/>
    <w:rsid w:val="00D14DEC"/>
    <w:rsid w:val="00D16C15"/>
    <w:rsid w:val="00D17813"/>
    <w:rsid w:val="00D205CD"/>
    <w:rsid w:val="00D21010"/>
    <w:rsid w:val="00D21596"/>
    <w:rsid w:val="00D220C7"/>
    <w:rsid w:val="00D2448F"/>
    <w:rsid w:val="00D25F49"/>
    <w:rsid w:val="00D260BE"/>
    <w:rsid w:val="00D2719B"/>
    <w:rsid w:val="00D2745C"/>
    <w:rsid w:val="00D27660"/>
    <w:rsid w:val="00D309D2"/>
    <w:rsid w:val="00D32315"/>
    <w:rsid w:val="00D41A38"/>
    <w:rsid w:val="00D4403D"/>
    <w:rsid w:val="00D45597"/>
    <w:rsid w:val="00D457D2"/>
    <w:rsid w:val="00D47874"/>
    <w:rsid w:val="00D4798C"/>
    <w:rsid w:val="00D50AD4"/>
    <w:rsid w:val="00D5269E"/>
    <w:rsid w:val="00D541FC"/>
    <w:rsid w:val="00D55972"/>
    <w:rsid w:val="00D61270"/>
    <w:rsid w:val="00D623F2"/>
    <w:rsid w:val="00D62EA4"/>
    <w:rsid w:val="00D6480D"/>
    <w:rsid w:val="00D64839"/>
    <w:rsid w:val="00D65434"/>
    <w:rsid w:val="00D6712F"/>
    <w:rsid w:val="00D74FCD"/>
    <w:rsid w:val="00D7602B"/>
    <w:rsid w:val="00D7652B"/>
    <w:rsid w:val="00D76CB3"/>
    <w:rsid w:val="00D802ED"/>
    <w:rsid w:val="00D8204D"/>
    <w:rsid w:val="00D861DC"/>
    <w:rsid w:val="00D87EB0"/>
    <w:rsid w:val="00D92B53"/>
    <w:rsid w:val="00D92E21"/>
    <w:rsid w:val="00D97F5F"/>
    <w:rsid w:val="00DA14F8"/>
    <w:rsid w:val="00DA6DC4"/>
    <w:rsid w:val="00DA760A"/>
    <w:rsid w:val="00DB03BC"/>
    <w:rsid w:val="00DB0602"/>
    <w:rsid w:val="00DB1378"/>
    <w:rsid w:val="00DB303E"/>
    <w:rsid w:val="00DB4AB2"/>
    <w:rsid w:val="00DC022A"/>
    <w:rsid w:val="00DC02A8"/>
    <w:rsid w:val="00DC03AD"/>
    <w:rsid w:val="00DC0503"/>
    <w:rsid w:val="00DC1004"/>
    <w:rsid w:val="00DC15FA"/>
    <w:rsid w:val="00DC22BE"/>
    <w:rsid w:val="00DC3270"/>
    <w:rsid w:val="00DC3350"/>
    <w:rsid w:val="00DC46FF"/>
    <w:rsid w:val="00DC530C"/>
    <w:rsid w:val="00DC66AD"/>
    <w:rsid w:val="00DC705A"/>
    <w:rsid w:val="00DD4F35"/>
    <w:rsid w:val="00DD5308"/>
    <w:rsid w:val="00DD6EE6"/>
    <w:rsid w:val="00DE1515"/>
    <w:rsid w:val="00DE1F6D"/>
    <w:rsid w:val="00DE3317"/>
    <w:rsid w:val="00DE35E0"/>
    <w:rsid w:val="00DE60D0"/>
    <w:rsid w:val="00DE7F3E"/>
    <w:rsid w:val="00DF01FD"/>
    <w:rsid w:val="00DF1744"/>
    <w:rsid w:val="00DF3680"/>
    <w:rsid w:val="00DF3A94"/>
    <w:rsid w:val="00E02D87"/>
    <w:rsid w:val="00E03177"/>
    <w:rsid w:val="00E034FE"/>
    <w:rsid w:val="00E0474A"/>
    <w:rsid w:val="00E04F6A"/>
    <w:rsid w:val="00E067AE"/>
    <w:rsid w:val="00E06E57"/>
    <w:rsid w:val="00E11F90"/>
    <w:rsid w:val="00E137B4"/>
    <w:rsid w:val="00E15855"/>
    <w:rsid w:val="00E22376"/>
    <w:rsid w:val="00E22EE1"/>
    <w:rsid w:val="00E27BEF"/>
    <w:rsid w:val="00E339E7"/>
    <w:rsid w:val="00E41B0B"/>
    <w:rsid w:val="00E42D2E"/>
    <w:rsid w:val="00E45489"/>
    <w:rsid w:val="00E467F0"/>
    <w:rsid w:val="00E50729"/>
    <w:rsid w:val="00E54608"/>
    <w:rsid w:val="00E573F7"/>
    <w:rsid w:val="00E600B0"/>
    <w:rsid w:val="00E632C0"/>
    <w:rsid w:val="00E63EC8"/>
    <w:rsid w:val="00E65A76"/>
    <w:rsid w:val="00E7202D"/>
    <w:rsid w:val="00E72139"/>
    <w:rsid w:val="00E724F5"/>
    <w:rsid w:val="00E77E1C"/>
    <w:rsid w:val="00E8232A"/>
    <w:rsid w:val="00E836FD"/>
    <w:rsid w:val="00E866C1"/>
    <w:rsid w:val="00E92ADF"/>
    <w:rsid w:val="00E939F2"/>
    <w:rsid w:val="00E93A3E"/>
    <w:rsid w:val="00E95DCF"/>
    <w:rsid w:val="00E97AE2"/>
    <w:rsid w:val="00E97BAE"/>
    <w:rsid w:val="00EA2709"/>
    <w:rsid w:val="00EA30AE"/>
    <w:rsid w:val="00EA6647"/>
    <w:rsid w:val="00EB12FA"/>
    <w:rsid w:val="00EB1DE5"/>
    <w:rsid w:val="00EB25F3"/>
    <w:rsid w:val="00EB5485"/>
    <w:rsid w:val="00EB5947"/>
    <w:rsid w:val="00EB6578"/>
    <w:rsid w:val="00EB7558"/>
    <w:rsid w:val="00EC00D7"/>
    <w:rsid w:val="00EC0F31"/>
    <w:rsid w:val="00EC5C1F"/>
    <w:rsid w:val="00EC6645"/>
    <w:rsid w:val="00ED186F"/>
    <w:rsid w:val="00ED1B2F"/>
    <w:rsid w:val="00ED2168"/>
    <w:rsid w:val="00ED32F5"/>
    <w:rsid w:val="00ED6F7C"/>
    <w:rsid w:val="00EE204E"/>
    <w:rsid w:val="00EE2900"/>
    <w:rsid w:val="00EE3403"/>
    <w:rsid w:val="00EE3BDC"/>
    <w:rsid w:val="00EE4469"/>
    <w:rsid w:val="00EEB5D1"/>
    <w:rsid w:val="00EF6231"/>
    <w:rsid w:val="00EF685E"/>
    <w:rsid w:val="00F02316"/>
    <w:rsid w:val="00F05CBD"/>
    <w:rsid w:val="00F14CDC"/>
    <w:rsid w:val="00F16476"/>
    <w:rsid w:val="00F171F1"/>
    <w:rsid w:val="00F212BC"/>
    <w:rsid w:val="00F22F76"/>
    <w:rsid w:val="00F238D3"/>
    <w:rsid w:val="00F266D7"/>
    <w:rsid w:val="00F27240"/>
    <w:rsid w:val="00F33189"/>
    <w:rsid w:val="00F3553D"/>
    <w:rsid w:val="00F3728F"/>
    <w:rsid w:val="00F409B2"/>
    <w:rsid w:val="00F40F07"/>
    <w:rsid w:val="00F41F44"/>
    <w:rsid w:val="00F4290F"/>
    <w:rsid w:val="00F444AD"/>
    <w:rsid w:val="00F47E92"/>
    <w:rsid w:val="00F52D03"/>
    <w:rsid w:val="00F56662"/>
    <w:rsid w:val="00F57CB8"/>
    <w:rsid w:val="00F62744"/>
    <w:rsid w:val="00F634F0"/>
    <w:rsid w:val="00F648EE"/>
    <w:rsid w:val="00F652CC"/>
    <w:rsid w:val="00F65667"/>
    <w:rsid w:val="00F7019D"/>
    <w:rsid w:val="00F72E46"/>
    <w:rsid w:val="00F731F7"/>
    <w:rsid w:val="00F747F9"/>
    <w:rsid w:val="00F751A3"/>
    <w:rsid w:val="00F75E43"/>
    <w:rsid w:val="00F774DF"/>
    <w:rsid w:val="00F777A5"/>
    <w:rsid w:val="00F77EA7"/>
    <w:rsid w:val="00F80F89"/>
    <w:rsid w:val="00F845CC"/>
    <w:rsid w:val="00F86E7A"/>
    <w:rsid w:val="00F9043C"/>
    <w:rsid w:val="00F918BC"/>
    <w:rsid w:val="00F9247D"/>
    <w:rsid w:val="00FA2926"/>
    <w:rsid w:val="00FA6943"/>
    <w:rsid w:val="00FA6CBE"/>
    <w:rsid w:val="00FB13C1"/>
    <w:rsid w:val="00FB2A08"/>
    <w:rsid w:val="00FB5ACC"/>
    <w:rsid w:val="00FC17A0"/>
    <w:rsid w:val="00FC2EE1"/>
    <w:rsid w:val="00FC39CF"/>
    <w:rsid w:val="00FC42DC"/>
    <w:rsid w:val="00FC551A"/>
    <w:rsid w:val="00FC781A"/>
    <w:rsid w:val="00FD65FA"/>
    <w:rsid w:val="00FD719F"/>
    <w:rsid w:val="00FE3336"/>
    <w:rsid w:val="00FE47D4"/>
    <w:rsid w:val="00FE53CB"/>
    <w:rsid w:val="00FE6973"/>
    <w:rsid w:val="00FF151C"/>
    <w:rsid w:val="00FF4041"/>
    <w:rsid w:val="00FF5209"/>
    <w:rsid w:val="00FF6A6A"/>
    <w:rsid w:val="01103F2C"/>
    <w:rsid w:val="0163CA16"/>
    <w:rsid w:val="01FE83C3"/>
    <w:rsid w:val="028AD9B3"/>
    <w:rsid w:val="02A3E6C3"/>
    <w:rsid w:val="02F7EB46"/>
    <w:rsid w:val="036C01B5"/>
    <w:rsid w:val="03B621C3"/>
    <w:rsid w:val="03E23E86"/>
    <w:rsid w:val="03E9D493"/>
    <w:rsid w:val="03F95F29"/>
    <w:rsid w:val="0419A81D"/>
    <w:rsid w:val="04CAE567"/>
    <w:rsid w:val="04FD92BF"/>
    <w:rsid w:val="050F849A"/>
    <w:rsid w:val="05440B3E"/>
    <w:rsid w:val="05776E42"/>
    <w:rsid w:val="05851D4A"/>
    <w:rsid w:val="05A3BC70"/>
    <w:rsid w:val="05DC6C4A"/>
    <w:rsid w:val="05E437E9"/>
    <w:rsid w:val="05F7CAE3"/>
    <w:rsid w:val="061BD340"/>
    <w:rsid w:val="06CC9FEB"/>
    <w:rsid w:val="071579BF"/>
    <w:rsid w:val="071A9103"/>
    <w:rsid w:val="0739E48E"/>
    <w:rsid w:val="07538EA7"/>
    <w:rsid w:val="07950D18"/>
    <w:rsid w:val="082C3574"/>
    <w:rsid w:val="08B2139E"/>
    <w:rsid w:val="08D65928"/>
    <w:rsid w:val="093D41EF"/>
    <w:rsid w:val="09677830"/>
    <w:rsid w:val="09E21112"/>
    <w:rsid w:val="0A164720"/>
    <w:rsid w:val="0A273F94"/>
    <w:rsid w:val="0A2AE109"/>
    <w:rsid w:val="0AD30140"/>
    <w:rsid w:val="0AFD7360"/>
    <w:rsid w:val="0B9AE505"/>
    <w:rsid w:val="0BCEA73B"/>
    <w:rsid w:val="0C109051"/>
    <w:rsid w:val="0C22F18C"/>
    <w:rsid w:val="0C70C3EF"/>
    <w:rsid w:val="0CAD0787"/>
    <w:rsid w:val="0D140BAC"/>
    <w:rsid w:val="0D3DF251"/>
    <w:rsid w:val="0DDC3132"/>
    <w:rsid w:val="0E239227"/>
    <w:rsid w:val="0E4A4C0C"/>
    <w:rsid w:val="0E62EA2D"/>
    <w:rsid w:val="0E696BBD"/>
    <w:rsid w:val="0E7DA742"/>
    <w:rsid w:val="0EB6E408"/>
    <w:rsid w:val="0EBCFBD0"/>
    <w:rsid w:val="0EF3D83F"/>
    <w:rsid w:val="0F207934"/>
    <w:rsid w:val="0F496713"/>
    <w:rsid w:val="1056FF88"/>
    <w:rsid w:val="107658CF"/>
    <w:rsid w:val="1080130B"/>
    <w:rsid w:val="10907959"/>
    <w:rsid w:val="10EE0E5D"/>
    <w:rsid w:val="110315C5"/>
    <w:rsid w:val="110E392D"/>
    <w:rsid w:val="111446B4"/>
    <w:rsid w:val="111AF895"/>
    <w:rsid w:val="1135F266"/>
    <w:rsid w:val="11B31494"/>
    <w:rsid w:val="11B705FA"/>
    <w:rsid w:val="11C5CF4D"/>
    <w:rsid w:val="121DB606"/>
    <w:rsid w:val="125D2013"/>
    <w:rsid w:val="127C7740"/>
    <w:rsid w:val="12C750CA"/>
    <w:rsid w:val="13078E79"/>
    <w:rsid w:val="1366CE79"/>
    <w:rsid w:val="137DC31E"/>
    <w:rsid w:val="1388D644"/>
    <w:rsid w:val="13967C68"/>
    <w:rsid w:val="1441F158"/>
    <w:rsid w:val="14543D57"/>
    <w:rsid w:val="14621421"/>
    <w:rsid w:val="1470B8E8"/>
    <w:rsid w:val="148278A0"/>
    <w:rsid w:val="1519A214"/>
    <w:rsid w:val="15951031"/>
    <w:rsid w:val="16533B01"/>
    <w:rsid w:val="165ADF1B"/>
    <w:rsid w:val="16F5B2FB"/>
    <w:rsid w:val="174A318E"/>
    <w:rsid w:val="175AD1A9"/>
    <w:rsid w:val="17629124"/>
    <w:rsid w:val="1779BD45"/>
    <w:rsid w:val="17ED3765"/>
    <w:rsid w:val="17FC0EAB"/>
    <w:rsid w:val="183021DE"/>
    <w:rsid w:val="1860397E"/>
    <w:rsid w:val="18758B22"/>
    <w:rsid w:val="187EF723"/>
    <w:rsid w:val="191055A9"/>
    <w:rsid w:val="1931C0F7"/>
    <w:rsid w:val="196A029A"/>
    <w:rsid w:val="19919E3C"/>
    <w:rsid w:val="199AE120"/>
    <w:rsid w:val="19E99E9B"/>
    <w:rsid w:val="19EF5B6E"/>
    <w:rsid w:val="1A4AAD3F"/>
    <w:rsid w:val="1A700713"/>
    <w:rsid w:val="1AEB2330"/>
    <w:rsid w:val="1AEDE74A"/>
    <w:rsid w:val="1B17C4CE"/>
    <w:rsid w:val="1B215A7B"/>
    <w:rsid w:val="1B2566F4"/>
    <w:rsid w:val="1B2BE6F1"/>
    <w:rsid w:val="1B3B766E"/>
    <w:rsid w:val="1BBC96B0"/>
    <w:rsid w:val="1BCFDDCF"/>
    <w:rsid w:val="1C27DD3A"/>
    <w:rsid w:val="1C3BFCF3"/>
    <w:rsid w:val="1CA583AB"/>
    <w:rsid w:val="1CF6CED9"/>
    <w:rsid w:val="1E0C1819"/>
    <w:rsid w:val="1E2672DD"/>
    <w:rsid w:val="1E590267"/>
    <w:rsid w:val="1E5BDC0A"/>
    <w:rsid w:val="1E600782"/>
    <w:rsid w:val="1E730380"/>
    <w:rsid w:val="1E94DA98"/>
    <w:rsid w:val="1F11DF19"/>
    <w:rsid w:val="1F401D8E"/>
    <w:rsid w:val="1F4B54C9"/>
    <w:rsid w:val="1F772E0F"/>
    <w:rsid w:val="1F7B22D0"/>
    <w:rsid w:val="1FC26D3B"/>
    <w:rsid w:val="201C777B"/>
    <w:rsid w:val="203FE241"/>
    <w:rsid w:val="2040AE7C"/>
    <w:rsid w:val="206618BA"/>
    <w:rsid w:val="20684BEB"/>
    <w:rsid w:val="208302BD"/>
    <w:rsid w:val="20C9384E"/>
    <w:rsid w:val="20F05955"/>
    <w:rsid w:val="212D13A3"/>
    <w:rsid w:val="21355E0E"/>
    <w:rsid w:val="216CA0D9"/>
    <w:rsid w:val="21BFBC85"/>
    <w:rsid w:val="222D6C77"/>
    <w:rsid w:val="226162BD"/>
    <w:rsid w:val="22A9AE05"/>
    <w:rsid w:val="22F9DD25"/>
    <w:rsid w:val="232BA981"/>
    <w:rsid w:val="23830E5D"/>
    <w:rsid w:val="2389C8D6"/>
    <w:rsid w:val="23AF4A7E"/>
    <w:rsid w:val="23E536F1"/>
    <w:rsid w:val="23FE799A"/>
    <w:rsid w:val="2449C524"/>
    <w:rsid w:val="245175DC"/>
    <w:rsid w:val="24649F24"/>
    <w:rsid w:val="247075B6"/>
    <w:rsid w:val="249F754B"/>
    <w:rsid w:val="253F7362"/>
    <w:rsid w:val="25CB5FAF"/>
    <w:rsid w:val="25EF1D3E"/>
    <w:rsid w:val="2639F191"/>
    <w:rsid w:val="267B3636"/>
    <w:rsid w:val="268C9D7C"/>
    <w:rsid w:val="26C9D6BC"/>
    <w:rsid w:val="271C9488"/>
    <w:rsid w:val="279DF9A6"/>
    <w:rsid w:val="27F0DC14"/>
    <w:rsid w:val="27FD996B"/>
    <w:rsid w:val="2825B043"/>
    <w:rsid w:val="282839A6"/>
    <w:rsid w:val="287A7F43"/>
    <w:rsid w:val="2912788E"/>
    <w:rsid w:val="297349D0"/>
    <w:rsid w:val="2992EBAF"/>
    <w:rsid w:val="29BD0987"/>
    <w:rsid w:val="2A3A2E19"/>
    <w:rsid w:val="2AB81A6C"/>
    <w:rsid w:val="2ADCB7D6"/>
    <w:rsid w:val="2ADD20EA"/>
    <w:rsid w:val="2AF088EC"/>
    <w:rsid w:val="2AF6381D"/>
    <w:rsid w:val="2B11BCF1"/>
    <w:rsid w:val="2B1AC672"/>
    <w:rsid w:val="2B2082DE"/>
    <w:rsid w:val="2B2F94C2"/>
    <w:rsid w:val="2B3216E5"/>
    <w:rsid w:val="2B833A6F"/>
    <w:rsid w:val="2B9C1B7B"/>
    <w:rsid w:val="2BB97FC9"/>
    <w:rsid w:val="2BEA3871"/>
    <w:rsid w:val="2C00CB46"/>
    <w:rsid w:val="2C305D63"/>
    <w:rsid w:val="2C746115"/>
    <w:rsid w:val="2CA97B26"/>
    <w:rsid w:val="2CCB64C0"/>
    <w:rsid w:val="2CD1BC69"/>
    <w:rsid w:val="2D349DC1"/>
    <w:rsid w:val="2D3E74D7"/>
    <w:rsid w:val="2D3F4FC3"/>
    <w:rsid w:val="2D4E68CB"/>
    <w:rsid w:val="2D77631A"/>
    <w:rsid w:val="2D904A7A"/>
    <w:rsid w:val="2E1CE62A"/>
    <w:rsid w:val="2E456ECA"/>
    <w:rsid w:val="2E5DF2F3"/>
    <w:rsid w:val="2E646618"/>
    <w:rsid w:val="2E81F3B0"/>
    <w:rsid w:val="2F22ACFE"/>
    <w:rsid w:val="2F4DCCC8"/>
    <w:rsid w:val="2FA4C3B5"/>
    <w:rsid w:val="2FAB80D8"/>
    <w:rsid w:val="2FD33403"/>
    <w:rsid w:val="2FDFBBD1"/>
    <w:rsid w:val="2FE417F9"/>
    <w:rsid w:val="30286DAE"/>
    <w:rsid w:val="30445109"/>
    <w:rsid w:val="304A4CE9"/>
    <w:rsid w:val="304C4BDE"/>
    <w:rsid w:val="3072E141"/>
    <w:rsid w:val="3098A4CD"/>
    <w:rsid w:val="30C6ACFE"/>
    <w:rsid w:val="30D7808D"/>
    <w:rsid w:val="30D93A29"/>
    <w:rsid w:val="310EF255"/>
    <w:rsid w:val="31108251"/>
    <w:rsid w:val="315C6B1D"/>
    <w:rsid w:val="31AE4B2A"/>
    <w:rsid w:val="31E39CE4"/>
    <w:rsid w:val="329CE44A"/>
    <w:rsid w:val="32A67D8A"/>
    <w:rsid w:val="333FA8B9"/>
    <w:rsid w:val="3342FB6C"/>
    <w:rsid w:val="33770D71"/>
    <w:rsid w:val="3409572E"/>
    <w:rsid w:val="3474BE99"/>
    <w:rsid w:val="34A7B25A"/>
    <w:rsid w:val="34AC1D58"/>
    <w:rsid w:val="34B29CD9"/>
    <w:rsid w:val="34B730D6"/>
    <w:rsid w:val="34EF2B18"/>
    <w:rsid w:val="3513CD75"/>
    <w:rsid w:val="3558450C"/>
    <w:rsid w:val="3570A1F9"/>
    <w:rsid w:val="359AEA39"/>
    <w:rsid w:val="359D7B48"/>
    <w:rsid w:val="35C38719"/>
    <w:rsid w:val="3619663E"/>
    <w:rsid w:val="361D5621"/>
    <w:rsid w:val="3620839D"/>
    <w:rsid w:val="3695E901"/>
    <w:rsid w:val="36DC7B44"/>
    <w:rsid w:val="36E39881"/>
    <w:rsid w:val="372EF2C6"/>
    <w:rsid w:val="379D68ED"/>
    <w:rsid w:val="38566920"/>
    <w:rsid w:val="386F3A55"/>
    <w:rsid w:val="387B8230"/>
    <w:rsid w:val="3893CB79"/>
    <w:rsid w:val="38A25DC5"/>
    <w:rsid w:val="38D9BD87"/>
    <w:rsid w:val="391E3584"/>
    <w:rsid w:val="39348AD3"/>
    <w:rsid w:val="398B11FA"/>
    <w:rsid w:val="39AF158D"/>
    <w:rsid w:val="3A3214D6"/>
    <w:rsid w:val="3A5F4DEF"/>
    <w:rsid w:val="3A78C0CA"/>
    <w:rsid w:val="3ADF27D6"/>
    <w:rsid w:val="3AE49525"/>
    <w:rsid w:val="3AECC316"/>
    <w:rsid w:val="3B7A8C35"/>
    <w:rsid w:val="3B8470EB"/>
    <w:rsid w:val="3C219B59"/>
    <w:rsid w:val="3C490948"/>
    <w:rsid w:val="3CAB0E8B"/>
    <w:rsid w:val="3CEC74B9"/>
    <w:rsid w:val="3D04CF3D"/>
    <w:rsid w:val="3D07C8DD"/>
    <w:rsid w:val="3D4195B4"/>
    <w:rsid w:val="3D9F22E9"/>
    <w:rsid w:val="3DEAD280"/>
    <w:rsid w:val="3E6DD0D3"/>
    <w:rsid w:val="3E80216C"/>
    <w:rsid w:val="3E924151"/>
    <w:rsid w:val="3E92AA8E"/>
    <w:rsid w:val="3EA6D9F7"/>
    <w:rsid w:val="3F040E2A"/>
    <w:rsid w:val="3F0AFDF9"/>
    <w:rsid w:val="3F12F0B0"/>
    <w:rsid w:val="3FE241B2"/>
    <w:rsid w:val="403286D9"/>
    <w:rsid w:val="407BE262"/>
    <w:rsid w:val="40B67855"/>
    <w:rsid w:val="410EE622"/>
    <w:rsid w:val="4177C4B4"/>
    <w:rsid w:val="41DEC41D"/>
    <w:rsid w:val="41F84471"/>
    <w:rsid w:val="426D7B58"/>
    <w:rsid w:val="42BE00D5"/>
    <w:rsid w:val="431BCA61"/>
    <w:rsid w:val="432723E8"/>
    <w:rsid w:val="43B7A694"/>
    <w:rsid w:val="43E1E4C4"/>
    <w:rsid w:val="43E261FD"/>
    <w:rsid w:val="43EB66DE"/>
    <w:rsid w:val="43F2017B"/>
    <w:rsid w:val="442ECB1D"/>
    <w:rsid w:val="443BCE69"/>
    <w:rsid w:val="447801B0"/>
    <w:rsid w:val="448765E2"/>
    <w:rsid w:val="44CD3D30"/>
    <w:rsid w:val="44F83D89"/>
    <w:rsid w:val="452E8145"/>
    <w:rsid w:val="45C562AF"/>
    <w:rsid w:val="45EB7496"/>
    <w:rsid w:val="45ED1D14"/>
    <w:rsid w:val="45F309A0"/>
    <w:rsid w:val="461A8747"/>
    <w:rsid w:val="4625596F"/>
    <w:rsid w:val="4643E54D"/>
    <w:rsid w:val="464570CB"/>
    <w:rsid w:val="46711E52"/>
    <w:rsid w:val="46940921"/>
    <w:rsid w:val="46FE2EA8"/>
    <w:rsid w:val="471BB6DB"/>
    <w:rsid w:val="4750AE9D"/>
    <w:rsid w:val="47B5F6B4"/>
    <w:rsid w:val="48373E31"/>
    <w:rsid w:val="483F4BFE"/>
    <w:rsid w:val="48425533"/>
    <w:rsid w:val="48451731"/>
    <w:rsid w:val="4869112C"/>
    <w:rsid w:val="48ADF7E7"/>
    <w:rsid w:val="48E3FD7B"/>
    <w:rsid w:val="4908831F"/>
    <w:rsid w:val="492095C2"/>
    <w:rsid w:val="494DE3ED"/>
    <w:rsid w:val="49706C4D"/>
    <w:rsid w:val="4AD9E2A7"/>
    <w:rsid w:val="4AE0116A"/>
    <w:rsid w:val="4AE313B9"/>
    <w:rsid w:val="4AFD6EB6"/>
    <w:rsid w:val="4B0888D7"/>
    <w:rsid w:val="4B449C55"/>
    <w:rsid w:val="4B89E9A1"/>
    <w:rsid w:val="4BA3D0C7"/>
    <w:rsid w:val="4C4A289E"/>
    <w:rsid w:val="4C54CF9F"/>
    <w:rsid w:val="4CAD7C76"/>
    <w:rsid w:val="4CB7E02F"/>
    <w:rsid w:val="4CB905A4"/>
    <w:rsid w:val="4D4153D5"/>
    <w:rsid w:val="4D6DC0E8"/>
    <w:rsid w:val="4D6E885F"/>
    <w:rsid w:val="4D831F3F"/>
    <w:rsid w:val="4E0511BB"/>
    <w:rsid w:val="4E5C3F21"/>
    <w:rsid w:val="4EF855FC"/>
    <w:rsid w:val="4F04B555"/>
    <w:rsid w:val="4F06C2D8"/>
    <w:rsid w:val="4F4FF12D"/>
    <w:rsid w:val="4F95D395"/>
    <w:rsid w:val="4FA12B1E"/>
    <w:rsid w:val="4FBEE8B5"/>
    <w:rsid w:val="4FDE2F8D"/>
    <w:rsid w:val="4FF03F2C"/>
    <w:rsid w:val="50110FDB"/>
    <w:rsid w:val="502DEBB2"/>
    <w:rsid w:val="5082D3BD"/>
    <w:rsid w:val="50A43239"/>
    <w:rsid w:val="50D2207E"/>
    <w:rsid w:val="50F0E628"/>
    <w:rsid w:val="511CAB77"/>
    <w:rsid w:val="51355EEF"/>
    <w:rsid w:val="515A1132"/>
    <w:rsid w:val="518506EA"/>
    <w:rsid w:val="51987973"/>
    <w:rsid w:val="51B33496"/>
    <w:rsid w:val="5214C8B7"/>
    <w:rsid w:val="524FF948"/>
    <w:rsid w:val="52971786"/>
    <w:rsid w:val="52DD1830"/>
    <w:rsid w:val="52EDF9AC"/>
    <w:rsid w:val="531593E1"/>
    <w:rsid w:val="533911FC"/>
    <w:rsid w:val="53AE21AB"/>
    <w:rsid w:val="53D2E222"/>
    <w:rsid w:val="53EA4FE2"/>
    <w:rsid w:val="53EBA2E8"/>
    <w:rsid w:val="54326A99"/>
    <w:rsid w:val="5489E8E9"/>
    <w:rsid w:val="5497D160"/>
    <w:rsid w:val="54B22A05"/>
    <w:rsid w:val="550048A4"/>
    <w:rsid w:val="553A89A9"/>
    <w:rsid w:val="5556E3A1"/>
    <w:rsid w:val="569CB4C4"/>
    <w:rsid w:val="56A79F85"/>
    <w:rsid w:val="56BC4124"/>
    <w:rsid w:val="57105B37"/>
    <w:rsid w:val="5762F3E6"/>
    <w:rsid w:val="57862B96"/>
    <w:rsid w:val="57DA0A6C"/>
    <w:rsid w:val="5816A431"/>
    <w:rsid w:val="5846FECB"/>
    <w:rsid w:val="58827250"/>
    <w:rsid w:val="58ABA8BF"/>
    <w:rsid w:val="58C6303A"/>
    <w:rsid w:val="58CC475B"/>
    <w:rsid w:val="5903D0EB"/>
    <w:rsid w:val="592C37D7"/>
    <w:rsid w:val="5974D8B4"/>
    <w:rsid w:val="59A83BFD"/>
    <w:rsid w:val="59D2F70E"/>
    <w:rsid w:val="59DE44BE"/>
    <w:rsid w:val="5A5A694A"/>
    <w:rsid w:val="5A95AB92"/>
    <w:rsid w:val="5AB3A50F"/>
    <w:rsid w:val="5AD67C91"/>
    <w:rsid w:val="5AD76592"/>
    <w:rsid w:val="5AFA9CBA"/>
    <w:rsid w:val="5B1A4EF5"/>
    <w:rsid w:val="5B22F33C"/>
    <w:rsid w:val="5B46ADDF"/>
    <w:rsid w:val="5BA5B9CD"/>
    <w:rsid w:val="5BFF0809"/>
    <w:rsid w:val="5C20EC09"/>
    <w:rsid w:val="5C430678"/>
    <w:rsid w:val="5C5233D6"/>
    <w:rsid w:val="5C5420C1"/>
    <w:rsid w:val="5C58F924"/>
    <w:rsid w:val="5C681A7A"/>
    <w:rsid w:val="5C8B217A"/>
    <w:rsid w:val="5CB14E55"/>
    <w:rsid w:val="5CB6762D"/>
    <w:rsid w:val="5CCD1816"/>
    <w:rsid w:val="5D676087"/>
    <w:rsid w:val="5DB0BE95"/>
    <w:rsid w:val="5E0732D0"/>
    <w:rsid w:val="5E1F27EB"/>
    <w:rsid w:val="5E35596E"/>
    <w:rsid w:val="5E4B6591"/>
    <w:rsid w:val="5E56CA1C"/>
    <w:rsid w:val="5E5F2849"/>
    <w:rsid w:val="5E9A9C38"/>
    <w:rsid w:val="5F1B100C"/>
    <w:rsid w:val="5F2942B5"/>
    <w:rsid w:val="5F692862"/>
    <w:rsid w:val="5FC3A304"/>
    <w:rsid w:val="5FD91D95"/>
    <w:rsid w:val="5FDDB26D"/>
    <w:rsid w:val="5FE2F15F"/>
    <w:rsid w:val="60168A7D"/>
    <w:rsid w:val="6053A7E0"/>
    <w:rsid w:val="6090FB3A"/>
    <w:rsid w:val="6104C3A6"/>
    <w:rsid w:val="613FB476"/>
    <w:rsid w:val="617F4A08"/>
    <w:rsid w:val="61DDFE27"/>
    <w:rsid w:val="61E86E9C"/>
    <w:rsid w:val="6211E8C5"/>
    <w:rsid w:val="623FE13F"/>
    <w:rsid w:val="629BE0AC"/>
    <w:rsid w:val="62E1B5C4"/>
    <w:rsid w:val="63364D4E"/>
    <w:rsid w:val="633AD7C4"/>
    <w:rsid w:val="6358F851"/>
    <w:rsid w:val="6360DBA7"/>
    <w:rsid w:val="63924899"/>
    <w:rsid w:val="640C69C9"/>
    <w:rsid w:val="643AC49D"/>
    <w:rsid w:val="647BA170"/>
    <w:rsid w:val="6506F390"/>
    <w:rsid w:val="65434EB2"/>
    <w:rsid w:val="65A56BE5"/>
    <w:rsid w:val="65C3D5DA"/>
    <w:rsid w:val="66064444"/>
    <w:rsid w:val="660ADA20"/>
    <w:rsid w:val="66728ECB"/>
    <w:rsid w:val="669577A9"/>
    <w:rsid w:val="66C78AFC"/>
    <w:rsid w:val="6718E361"/>
    <w:rsid w:val="67413228"/>
    <w:rsid w:val="67733D7E"/>
    <w:rsid w:val="68070C50"/>
    <w:rsid w:val="684F641D"/>
    <w:rsid w:val="68C708F3"/>
    <w:rsid w:val="6900584E"/>
    <w:rsid w:val="6902EC7D"/>
    <w:rsid w:val="693CA3E9"/>
    <w:rsid w:val="69691C53"/>
    <w:rsid w:val="69709763"/>
    <w:rsid w:val="6996AF60"/>
    <w:rsid w:val="69A2B120"/>
    <w:rsid w:val="69FF0C67"/>
    <w:rsid w:val="6AB9FE9A"/>
    <w:rsid w:val="6B4BAD84"/>
    <w:rsid w:val="6B7E05B3"/>
    <w:rsid w:val="6BBFE85F"/>
    <w:rsid w:val="6BDA4D8A"/>
    <w:rsid w:val="6BF03BCF"/>
    <w:rsid w:val="6C5C04C0"/>
    <w:rsid w:val="6CA011DA"/>
    <w:rsid w:val="6CC53709"/>
    <w:rsid w:val="6CC818B6"/>
    <w:rsid w:val="6CCCAF89"/>
    <w:rsid w:val="6CEF7A12"/>
    <w:rsid w:val="6D10FAFE"/>
    <w:rsid w:val="6D122177"/>
    <w:rsid w:val="6D162661"/>
    <w:rsid w:val="6D2F7129"/>
    <w:rsid w:val="6D87CE1B"/>
    <w:rsid w:val="6DA42A91"/>
    <w:rsid w:val="6DBD82DA"/>
    <w:rsid w:val="6E04AD1F"/>
    <w:rsid w:val="6E5A71B2"/>
    <w:rsid w:val="6E901C53"/>
    <w:rsid w:val="6EB3A86B"/>
    <w:rsid w:val="6EC4FA6D"/>
    <w:rsid w:val="6EC95DC4"/>
    <w:rsid w:val="6EDC25E1"/>
    <w:rsid w:val="6F446E22"/>
    <w:rsid w:val="6F8AEA94"/>
    <w:rsid w:val="6F9100E3"/>
    <w:rsid w:val="6FB21212"/>
    <w:rsid w:val="6FCA86A0"/>
    <w:rsid w:val="6FFEC4BF"/>
    <w:rsid w:val="7040ADD0"/>
    <w:rsid w:val="70C13C79"/>
    <w:rsid w:val="71106F57"/>
    <w:rsid w:val="712DAFAA"/>
    <w:rsid w:val="7133E9CD"/>
    <w:rsid w:val="7139E05D"/>
    <w:rsid w:val="715A5E50"/>
    <w:rsid w:val="718468A3"/>
    <w:rsid w:val="71FC6067"/>
    <w:rsid w:val="722007B7"/>
    <w:rsid w:val="725FBB3A"/>
    <w:rsid w:val="728BD70B"/>
    <w:rsid w:val="72BE8EE7"/>
    <w:rsid w:val="72D5B573"/>
    <w:rsid w:val="72DF5170"/>
    <w:rsid w:val="73013ACD"/>
    <w:rsid w:val="732A2FE3"/>
    <w:rsid w:val="73502B3F"/>
    <w:rsid w:val="73690D56"/>
    <w:rsid w:val="73D44398"/>
    <w:rsid w:val="73D97194"/>
    <w:rsid w:val="73E6FEDA"/>
    <w:rsid w:val="73F05CCE"/>
    <w:rsid w:val="740894FD"/>
    <w:rsid w:val="7446A421"/>
    <w:rsid w:val="745C866C"/>
    <w:rsid w:val="745FE88B"/>
    <w:rsid w:val="747712EC"/>
    <w:rsid w:val="748D0A66"/>
    <w:rsid w:val="74AFE057"/>
    <w:rsid w:val="74E4FB6E"/>
    <w:rsid w:val="74EEE6C1"/>
    <w:rsid w:val="750034EA"/>
    <w:rsid w:val="7512D0B9"/>
    <w:rsid w:val="7530DE5E"/>
    <w:rsid w:val="756C7E2A"/>
    <w:rsid w:val="7574E6F2"/>
    <w:rsid w:val="759F3A5E"/>
    <w:rsid w:val="75B37E62"/>
    <w:rsid w:val="7608FF38"/>
    <w:rsid w:val="7609DDF6"/>
    <w:rsid w:val="76137580"/>
    <w:rsid w:val="764C971E"/>
    <w:rsid w:val="76664572"/>
    <w:rsid w:val="768AFAE1"/>
    <w:rsid w:val="76AB2F8D"/>
    <w:rsid w:val="76CA8B90"/>
    <w:rsid w:val="76D7421E"/>
    <w:rsid w:val="76FB4866"/>
    <w:rsid w:val="775E99F5"/>
    <w:rsid w:val="77D9AABE"/>
    <w:rsid w:val="7826EA76"/>
    <w:rsid w:val="784EC2A4"/>
    <w:rsid w:val="785B50B6"/>
    <w:rsid w:val="78BA0566"/>
    <w:rsid w:val="791339F7"/>
    <w:rsid w:val="7926ADE0"/>
    <w:rsid w:val="7939A718"/>
    <w:rsid w:val="794FDA83"/>
    <w:rsid w:val="795E5D4C"/>
    <w:rsid w:val="7A022E08"/>
    <w:rsid w:val="7A39EC3E"/>
    <w:rsid w:val="7A40251E"/>
    <w:rsid w:val="7A575CE7"/>
    <w:rsid w:val="7A665242"/>
    <w:rsid w:val="7A7F9259"/>
    <w:rsid w:val="7AB2DAD4"/>
    <w:rsid w:val="7AC9111D"/>
    <w:rsid w:val="7B1B9F47"/>
    <w:rsid w:val="7BFCC3B0"/>
    <w:rsid w:val="7C4B65A2"/>
    <w:rsid w:val="7C6B887D"/>
    <w:rsid w:val="7CD72318"/>
    <w:rsid w:val="7CED43C1"/>
    <w:rsid w:val="7D05CFE2"/>
    <w:rsid w:val="7D26248C"/>
    <w:rsid w:val="7D6E68B2"/>
    <w:rsid w:val="7D7F826E"/>
    <w:rsid w:val="7DCA4E34"/>
    <w:rsid w:val="7DF37799"/>
    <w:rsid w:val="7DFEE404"/>
    <w:rsid w:val="7E240092"/>
    <w:rsid w:val="7EC9CA7D"/>
    <w:rsid w:val="7EF66A1D"/>
    <w:rsid w:val="7F0C33AA"/>
    <w:rsid w:val="7F89E2BD"/>
    <w:rsid w:val="7FCC2102"/>
    <w:rsid w:val="7FD18F4F"/>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D672B85"/>
  <w15:chartTrackingRefBased/>
  <w15:docId w15:val="{CEAB66BC-98A0-4E64-80D4-19F82B299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C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C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C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C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C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C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C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C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C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C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C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C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C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C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C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C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C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C1A"/>
    <w:rPr>
      <w:rFonts w:eastAsiaTheme="majorEastAsia" w:cstheme="majorBidi"/>
      <w:color w:val="272727" w:themeColor="text1" w:themeTint="D8"/>
    </w:rPr>
  </w:style>
  <w:style w:type="paragraph" w:styleId="Title">
    <w:name w:val="Title"/>
    <w:basedOn w:val="Normal"/>
    <w:next w:val="Normal"/>
    <w:link w:val="TitleChar"/>
    <w:uiPriority w:val="10"/>
    <w:qFormat/>
    <w:rsid w:val="003A0C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C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C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C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C1A"/>
    <w:pPr>
      <w:spacing w:before="160"/>
      <w:jc w:val="center"/>
    </w:pPr>
    <w:rPr>
      <w:i/>
      <w:iCs/>
      <w:color w:val="404040" w:themeColor="text1" w:themeTint="BF"/>
    </w:rPr>
  </w:style>
  <w:style w:type="character" w:customStyle="1" w:styleId="QuoteChar">
    <w:name w:val="Quote Char"/>
    <w:basedOn w:val="DefaultParagraphFont"/>
    <w:link w:val="Quote"/>
    <w:uiPriority w:val="29"/>
    <w:rsid w:val="003A0C1A"/>
    <w:rPr>
      <w:i/>
      <w:iCs/>
      <w:color w:val="404040" w:themeColor="text1" w:themeTint="BF"/>
    </w:rPr>
  </w:style>
  <w:style w:type="paragraph" w:styleId="ListParagraph">
    <w:name w:val="List Paragraph"/>
    <w:basedOn w:val="Normal"/>
    <w:uiPriority w:val="34"/>
    <w:qFormat/>
    <w:rsid w:val="003A0C1A"/>
    <w:pPr>
      <w:ind w:left="720"/>
      <w:contextualSpacing/>
    </w:pPr>
  </w:style>
  <w:style w:type="character" w:styleId="IntenseEmphasis">
    <w:name w:val="Intense Emphasis"/>
    <w:basedOn w:val="DefaultParagraphFont"/>
    <w:uiPriority w:val="21"/>
    <w:qFormat/>
    <w:rsid w:val="003A0C1A"/>
    <w:rPr>
      <w:i/>
      <w:iCs/>
      <w:color w:val="0F4761" w:themeColor="accent1" w:themeShade="BF"/>
    </w:rPr>
  </w:style>
  <w:style w:type="paragraph" w:styleId="IntenseQuote">
    <w:name w:val="Intense Quote"/>
    <w:basedOn w:val="Normal"/>
    <w:next w:val="Normal"/>
    <w:link w:val="IntenseQuoteChar"/>
    <w:uiPriority w:val="30"/>
    <w:qFormat/>
    <w:rsid w:val="003A0C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C1A"/>
    <w:rPr>
      <w:i/>
      <w:iCs/>
      <w:color w:val="0F4761" w:themeColor="accent1" w:themeShade="BF"/>
    </w:rPr>
  </w:style>
  <w:style w:type="character" w:styleId="IntenseReference">
    <w:name w:val="Intense Reference"/>
    <w:basedOn w:val="DefaultParagraphFont"/>
    <w:uiPriority w:val="32"/>
    <w:qFormat/>
    <w:rsid w:val="003A0C1A"/>
    <w:rPr>
      <w:b/>
      <w:bCs/>
      <w:smallCaps/>
      <w:color w:val="0F4761" w:themeColor="accent1" w:themeShade="BF"/>
      <w:spacing w:val="5"/>
    </w:rPr>
  </w:style>
  <w:style w:type="character" w:styleId="Hyperlink">
    <w:name w:val="Hyperlink"/>
    <w:basedOn w:val="DefaultParagraphFont"/>
    <w:uiPriority w:val="99"/>
    <w:unhideWhenUsed/>
    <w:rsid w:val="003A0C1A"/>
    <w:rPr>
      <w:color w:val="467886" w:themeColor="hyperlink"/>
      <w:u w:val="single"/>
    </w:rPr>
  </w:style>
  <w:style w:type="character" w:styleId="UnresolvedMention">
    <w:name w:val="Unresolved Mention"/>
    <w:basedOn w:val="DefaultParagraphFont"/>
    <w:uiPriority w:val="99"/>
    <w:semiHidden/>
    <w:unhideWhenUsed/>
    <w:rsid w:val="003A0C1A"/>
    <w:rPr>
      <w:color w:val="605E5C"/>
      <w:shd w:val="clear" w:color="auto" w:fill="E1DFDD"/>
    </w:rPr>
  </w:style>
  <w:style w:type="paragraph" w:styleId="Revision">
    <w:name w:val="Revision"/>
    <w:hidden/>
    <w:uiPriority w:val="99"/>
    <w:semiHidden/>
    <w:rsid w:val="0065543F"/>
    <w:pPr>
      <w:spacing w:after="0" w:line="240" w:lineRule="auto"/>
    </w:pPr>
  </w:style>
  <w:style w:type="character" w:styleId="CommentReference">
    <w:name w:val="annotation reference"/>
    <w:basedOn w:val="DefaultParagraphFont"/>
    <w:uiPriority w:val="99"/>
    <w:semiHidden/>
    <w:unhideWhenUsed/>
    <w:rsid w:val="001137D0"/>
    <w:rPr>
      <w:sz w:val="16"/>
      <w:szCs w:val="16"/>
    </w:rPr>
  </w:style>
  <w:style w:type="paragraph" w:styleId="CommentText">
    <w:name w:val="annotation text"/>
    <w:basedOn w:val="Normal"/>
    <w:link w:val="CommentTextChar"/>
    <w:uiPriority w:val="99"/>
    <w:unhideWhenUsed/>
    <w:rsid w:val="001137D0"/>
    <w:pPr>
      <w:spacing w:line="240" w:lineRule="auto"/>
    </w:pPr>
    <w:rPr>
      <w:sz w:val="20"/>
      <w:szCs w:val="20"/>
    </w:rPr>
  </w:style>
  <w:style w:type="character" w:customStyle="1" w:styleId="CommentTextChar">
    <w:name w:val="Comment Text Char"/>
    <w:basedOn w:val="DefaultParagraphFont"/>
    <w:link w:val="CommentText"/>
    <w:uiPriority w:val="99"/>
    <w:rsid w:val="001137D0"/>
    <w:rPr>
      <w:sz w:val="20"/>
      <w:szCs w:val="20"/>
    </w:rPr>
  </w:style>
  <w:style w:type="paragraph" w:styleId="CommentSubject">
    <w:name w:val="annotation subject"/>
    <w:basedOn w:val="CommentText"/>
    <w:next w:val="CommentText"/>
    <w:link w:val="CommentSubjectChar"/>
    <w:uiPriority w:val="99"/>
    <w:semiHidden/>
    <w:unhideWhenUsed/>
    <w:rsid w:val="001137D0"/>
    <w:rPr>
      <w:b/>
      <w:bCs/>
    </w:rPr>
  </w:style>
  <w:style w:type="character" w:customStyle="1" w:styleId="CommentSubjectChar">
    <w:name w:val="Comment Subject Char"/>
    <w:basedOn w:val="CommentTextChar"/>
    <w:link w:val="CommentSubject"/>
    <w:uiPriority w:val="99"/>
    <w:semiHidden/>
    <w:rsid w:val="001137D0"/>
    <w:rPr>
      <w:b/>
      <w:bCs/>
      <w:sz w:val="20"/>
      <w:szCs w:val="20"/>
    </w:rPr>
  </w:style>
  <w:style w:type="character" w:styleId="FollowedHyperlink">
    <w:name w:val="FollowedHyperlink"/>
    <w:basedOn w:val="DefaultParagraphFont"/>
    <w:uiPriority w:val="99"/>
    <w:semiHidden/>
    <w:unhideWhenUsed/>
    <w:rsid w:val="004E233F"/>
    <w:rPr>
      <w:color w:val="96607D" w:themeColor="followedHyperlink"/>
      <w:u w:val="single"/>
    </w:rPr>
  </w:style>
  <w:style w:type="paragraph" w:styleId="Header">
    <w:name w:val="header"/>
    <w:basedOn w:val="Normal"/>
    <w:link w:val="HeaderChar"/>
    <w:uiPriority w:val="99"/>
    <w:unhideWhenUsed/>
    <w:rsid w:val="00456FCB"/>
    <w:pPr>
      <w:tabs>
        <w:tab w:val="center" w:pos="4153"/>
        <w:tab w:val="right" w:pos="8306"/>
      </w:tabs>
      <w:spacing w:after="0" w:line="240" w:lineRule="auto"/>
    </w:pPr>
  </w:style>
  <w:style w:type="character" w:customStyle="1" w:styleId="HeaderChar">
    <w:name w:val="Header Char"/>
    <w:basedOn w:val="DefaultParagraphFont"/>
    <w:link w:val="Header"/>
    <w:uiPriority w:val="99"/>
    <w:rsid w:val="00456FCB"/>
  </w:style>
  <w:style w:type="paragraph" w:styleId="Footer">
    <w:name w:val="footer"/>
    <w:basedOn w:val="Normal"/>
    <w:link w:val="FooterChar"/>
    <w:uiPriority w:val="99"/>
    <w:unhideWhenUsed/>
    <w:rsid w:val="00456FCB"/>
    <w:pPr>
      <w:tabs>
        <w:tab w:val="center" w:pos="4153"/>
        <w:tab w:val="right" w:pos="8306"/>
      </w:tabs>
      <w:spacing w:after="0" w:line="240" w:lineRule="auto"/>
    </w:pPr>
  </w:style>
  <w:style w:type="character" w:customStyle="1" w:styleId="FooterChar">
    <w:name w:val="Footer Char"/>
    <w:basedOn w:val="DefaultParagraphFont"/>
    <w:link w:val="Footer"/>
    <w:uiPriority w:val="99"/>
    <w:rsid w:val="00456FCB"/>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971069">
      <w:bodyDiv w:val="1"/>
      <w:marLeft w:val="0"/>
      <w:marRight w:val="0"/>
      <w:marTop w:val="0"/>
      <w:marBottom w:val="0"/>
      <w:divBdr>
        <w:top w:val="none" w:sz="0" w:space="0" w:color="auto"/>
        <w:left w:val="none" w:sz="0" w:space="0" w:color="auto"/>
        <w:bottom w:val="none" w:sz="0" w:space="0" w:color="auto"/>
        <w:right w:val="none" w:sz="0" w:space="0" w:color="auto"/>
      </w:divBdr>
      <w:divsChild>
        <w:div w:id="1351763729">
          <w:marLeft w:val="0"/>
          <w:marRight w:val="0"/>
          <w:marTop w:val="0"/>
          <w:marBottom w:val="0"/>
          <w:divBdr>
            <w:top w:val="none" w:sz="0" w:space="0" w:color="auto"/>
            <w:left w:val="none" w:sz="0" w:space="0" w:color="auto"/>
            <w:bottom w:val="none" w:sz="0" w:space="0" w:color="auto"/>
            <w:right w:val="none" w:sz="0" w:space="0" w:color="auto"/>
          </w:divBdr>
        </w:div>
        <w:div w:id="1566338760">
          <w:marLeft w:val="0"/>
          <w:marRight w:val="0"/>
          <w:marTop w:val="0"/>
          <w:marBottom w:val="0"/>
          <w:divBdr>
            <w:top w:val="none" w:sz="0" w:space="0" w:color="auto"/>
            <w:left w:val="none" w:sz="0" w:space="0" w:color="auto"/>
            <w:bottom w:val="none" w:sz="0" w:space="0" w:color="auto"/>
            <w:right w:val="none" w:sz="0" w:space="0" w:color="auto"/>
          </w:divBdr>
        </w:div>
        <w:div w:id="1762945137">
          <w:marLeft w:val="0"/>
          <w:marRight w:val="0"/>
          <w:marTop w:val="0"/>
          <w:marBottom w:val="0"/>
          <w:divBdr>
            <w:top w:val="none" w:sz="0" w:space="0" w:color="auto"/>
            <w:left w:val="none" w:sz="0" w:space="0" w:color="auto"/>
            <w:bottom w:val="none" w:sz="0" w:space="0" w:color="auto"/>
            <w:right w:val="none" w:sz="0" w:space="0" w:color="auto"/>
          </w:divBdr>
        </w:div>
      </w:divsChild>
    </w:div>
    <w:div w:id="1285578323">
      <w:bodyDiv w:val="1"/>
      <w:marLeft w:val="0"/>
      <w:marRight w:val="0"/>
      <w:marTop w:val="0"/>
      <w:marBottom w:val="0"/>
      <w:divBdr>
        <w:top w:val="none" w:sz="0" w:space="0" w:color="auto"/>
        <w:left w:val="none" w:sz="0" w:space="0" w:color="auto"/>
        <w:bottom w:val="none" w:sz="0" w:space="0" w:color="auto"/>
        <w:right w:val="none" w:sz="0" w:space="0" w:color="auto"/>
      </w:divBdr>
      <w:divsChild>
        <w:div w:id="803078880">
          <w:marLeft w:val="0"/>
          <w:marRight w:val="0"/>
          <w:marTop w:val="0"/>
          <w:marBottom w:val="0"/>
          <w:divBdr>
            <w:top w:val="none" w:sz="0" w:space="0" w:color="auto"/>
            <w:left w:val="none" w:sz="0" w:space="0" w:color="auto"/>
            <w:bottom w:val="none" w:sz="0" w:space="0" w:color="auto"/>
            <w:right w:val="none" w:sz="0" w:space="0" w:color="auto"/>
          </w:divBdr>
        </w:div>
        <w:div w:id="1440833537">
          <w:marLeft w:val="0"/>
          <w:marRight w:val="0"/>
          <w:marTop w:val="0"/>
          <w:marBottom w:val="0"/>
          <w:divBdr>
            <w:top w:val="none" w:sz="0" w:space="0" w:color="auto"/>
            <w:left w:val="none" w:sz="0" w:space="0" w:color="auto"/>
            <w:bottom w:val="none" w:sz="0" w:space="0" w:color="auto"/>
            <w:right w:val="none" w:sz="0" w:space="0" w:color="auto"/>
          </w:divBdr>
          <w:divsChild>
            <w:div w:id="1490294394">
              <w:marLeft w:val="0"/>
              <w:marRight w:val="0"/>
              <w:marTop w:val="0"/>
              <w:marBottom w:val="0"/>
              <w:divBdr>
                <w:top w:val="none" w:sz="0" w:space="0" w:color="auto"/>
                <w:left w:val="none" w:sz="0" w:space="0" w:color="auto"/>
                <w:bottom w:val="none" w:sz="0" w:space="0" w:color="auto"/>
                <w:right w:val="none" w:sz="0" w:space="0" w:color="auto"/>
              </w:divBdr>
              <w:divsChild>
                <w:div w:id="1172835816">
                  <w:marLeft w:val="0"/>
                  <w:marRight w:val="0"/>
                  <w:marTop w:val="0"/>
                  <w:marBottom w:val="0"/>
                  <w:divBdr>
                    <w:top w:val="none" w:sz="0" w:space="0" w:color="auto"/>
                    <w:left w:val="none" w:sz="0" w:space="0" w:color="auto"/>
                    <w:bottom w:val="none" w:sz="0" w:space="0" w:color="auto"/>
                    <w:right w:val="none" w:sz="0" w:space="0" w:color="auto"/>
                  </w:divBdr>
                  <w:divsChild>
                    <w:div w:id="911548703">
                      <w:marLeft w:val="0"/>
                      <w:marRight w:val="0"/>
                      <w:marTop w:val="0"/>
                      <w:marBottom w:val="0"/>
                      <w:divBdr>
                        <w:top w:val="none" w:sz="0" w:space="0" w:color="auto"/>
                        <w:left w:val="none" w:sz="0" w:space="0" w:color="auto"/>
                        <w:bottom w:val="none" w:sz="0" w:space="0" w:color="auto"/>
                        <w:right w:val="none" w:sz="0" w:space="0" w:color="auto"/>
                      </w:divBdr>
                      <w:divsChild>
                        <w:div w:id="876817166">
                          <w:marLeft w:val="0"/>
                          <w:marRight w:val="0"/>
                          <w:marTop w:val="300"/>
                          <w:marBottom w:val="0"/>
                          <w:divBdr>
                            <w:top w:val="none" w:sz="0" w:space="0" w:color="auto"/>
                            <w:left w:val="none" w:sz="0" w:space="0" w:color="auto"/>
                            <w:bottom w:val="none" w:sz="0" w:space="0" w:color="auto"/>
                            <w:right w:val="none" w:sz="0" w:space="0" w:color="auto"/>
                          </w:divBdr>
                          <w:divsChild>
                            <w:div w:id="863206703">
                              <w:marLeft w:val="0"/>
                              <w:marRight w:val="0"/>
                              <w:marTop w:val="0"/>
                              <w:marBottom w:val="0"/>
                              <w:divBdr>
                                <w:top w:val="none" w:sz="0" w:space="0" w:color="auto"/>
                                <w:left w:val="none" w:sz="0" w:space="0" w:color="auto"/>
                                <w:bottom w:val="none" w:sz="0" w:space="0" w:color="auto"/>
                                <w:right w:val="none" w:sz="0" w:space="0" w:color="auto"/>
                              </w:divBdr>
                            </w:div>
                          </w:divsChild>
                        </w:div>
                        <w:div w:id="1204757902">
                          <w:marLeft w:val="0"/>
                          <w:marRight w:val="0"/>
                          <w:marTop w:val="300"/>
                          <w:marBottom w:val="0"/>
                          <w:divBdr>
                            <w:top w:val="none" w:sz="0" w:space="0" w:color="auto"/>
                            <w:left w:val="none" w:sz="0" w:space="0" w:color="auto"/>
                            <w:bottom w:val="none" w:sz="0" w:space="0" w:color="auto"/>
                            <w:right w:val="none" w:sz="0" w:space="0" w:color="auto"/>
                          </w:divBdr>
                          <w:divsChild>
                            <w:div w:id="1514690310">
                              <w:marLeft w:val="0"/>
                              <w:marRight w:val="0"/>
                              <w:marTop w:val="0"/>
                              <w:marBottom w:val="0"/>
                              <w:divBdr>
                                <w:top w:val="none" w:sz="0" w:space="0" w:color="auto"/>
                                <w:left w:val="none" w:sz="0" w:space="0" w:color="auto"/>
                                <w:bottom w:val="none" w:sz="0" w:space="0" w:color="auto"/>
                                <w:right w:val="none" w:sz="0" w:space="0" w:color="auto"/>
                              </w:divBdr>
                            </w:div>
                            <w:div w:id="1663269625">
                              <w:marLeft w:val="0"/>
                              <w:marRight w:val="0"/>
                              <w:marTop w:val="0"/>
                              <w:marBottom w:val="0"/>
                              <w:divBdr>
                                <w:top w:val="none" w:sz="0" w:space="0" w:color="auto"/>
                                <w:left w:val="none" w:sz="0" w:space="0" w:color="auto"/>
                                <w:bottom w:val="none" w:sz="0" w:space="0" w:color="auto"/>
                                <w:right w:val="none" w:sz="0" w:space="0" w:color="auto"/>
                              </w:divBdr>
                            </w:div>
                          </w:divsChild>
                        </w:div>
                        <w:div w:id="1483960158">
                          <w:marLeft w:val="0"/>
                          <w:marRight w:val="0"/>
                          <w:marTop w:val="0"/>
                          <w:marBottom w:val="0"/>
                          <w:divBdr>
                            <w:top w:val="none" w:sz="0" w:space="0" w:color="auto"/>
                            <w:left w:val="none" w:sz="0" w:space="0" w:color="auto"/>
                            <w:bottom w:val="none" w:sz="0" w:space="0" w:color="auto"/>
                            <w:right w:val="none" w:sz="0" w:space="0" w:color="auto"/>
                          </w:divBdr>
                          <w:divsChild>
                            <w:div w:id="1472015905">
                              <w:marLeft w:val="150"/>
                              <w:marRight w:val="150"/>
                              <w:marTop w:val="480"/>
                              <w:marBottom w:val="0"/>
                              <w:divBdr>
                                <w:top w:val="none" w:sz="0" w:space="0" w:color="auto"/>
                                <w:left w:val="none" w:sz="0" w:space="0" w:color="auto"/>
                                <w:bottom w:val="none" w:sz="0" w:space="0" w:color="auto"/>
                                <w:right w:val="none" w:sz="0" w:space="0" w:color="auto"/>
                              </w:divBdr>
                            </w:div>
                            <w:div w:id="1477065234">
                              <w:marLeft w:val="0"/>
                              <w:marRight w:val="0"/>
                              <w:marTop w:val="240"/>
                              <w:marBottom w:val="0"/>
                              <w:divBdr>
                                <w:top w:val="none" w:sz="0" w:space="0" w:color="auto"/>
                                <w:left w:val="none" w:sz="0" w:space="0" w:color="auto"/>
                                <w:bottom w:val="none" w:sz="0" w:space="0" w:color="auto"/>
                                <w:right w:val="none" w:sz="0" w:space="0" w:color="auto"/>
                              </w:divBdr>
                              <w:divsChild>
                                <w:div w:id="293751555">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 w:id="1733235061">
                          <w:marLeft w:val="0"/>
                          <w:marRight w:val="0"/>
                          <w:marTop w:val="0"/>
                          <w:marBottom w:val="0"/>
                          <w:divBdr>
                            <w:top w:val="none" w:sz="0" w:space="0" w:color="auto"/>
                            <w:left w:val="none" w:sz="0" w:space="0" w:color="auto"/>
                            <w:bottom w:val="none" w:sz="0" w:space="0" w:color="auto"/>
                            <w:right w:val="none" w:sz="0" w:space="0" w:color="auto"/>
                          </w:divBdr>
                          <w:divsChild>
                            <w:div w:id="403995312">
                              <w:marLeft w:val="0"/>
                              <w:marRight w:val="0"/>
                              <w:marTop w:val="0"/>
                              <w:marBottom w:val="0"/>
                              <w:divBdr>
                                <w:top w:val="none" w:sz="0" w:space="0" w:color="auto"/>
                                <w:left w:val="none" w:sz="0" w:space="0" w:color="auto"/>
                                <w:bottom w:val="none" w:sz="0" w:space="0" w:color="auto"/>
                                <w:right w:val="none" w:sz="0" w:space="0" w:color="auto"/>
                              </w:divBdr>
                            </w:div>
                            <w:div w:id="142457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98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041701">
      <w:bodyDiv w:val="1"/>
      <w:marLeft w:val="0"/>
      <w:marRight w:val="0"/>
      <w:marTop w:val="0"/>
      <w:marBottom w:val="0"/>
      <w:divBdr>
        <w:top w:val="none" w:sz="0" w:space="0" w:color="auto"/>
        <w:left w:val="none" w:sz="0" w:space="0" w:color="auto"/>
        <w:bottom w:val="none" w:sz="0" w:space="0" w:color="auto"/>
        <w:right w:val="none" w:sz="0" w:space="0" w:color="auto"/>
      </w:divBdr>
      <w:divsChild>
        <w:div w:id="38405879">
          <w:marLeft w:val="0"/>
          <w:marRight w:val="0"/>
          <w:marTop w:val="0"/>
          <w:marBottom w:val="0"/>
          <w:divBdr>
            <w:top w:val="none" w:sz="0" w:space="0" w:color="auto"/>
            <w:left w:val="none" w:sz="0" w:space="0" w:color="auto"/>
            <w:bottom w:val="none" w:sz="0" w:space="0" w:color="auto"/>
            <w:right w:val="none" w:sz="0" w:space="0" w:color="auto"/>
          </w:divBdr>
        </w:div>
        <w:div w:id="802188772">
          <w:marLeft w:val="0"/>
          <w:marRight w:val="0"/>
          <w:marTop w:val="0"/>
          <w:marBottom w:val="0"/>
          <w:divBdr>
            <w:top w:val="none" w:sz="0" w:space="0" w:color="auto"/>
            <w:left w:val="none" w:sz="0" w:space="0" w:color="auto"/>
            <w:bottom w:val="none" w:sz="0" w:space="0" w:color="auto"/>
            <w:right w:val="none" w:sz="0" w:space="0" w:color="auto"/>
          </w:divBdr>
        </w:div>
        <w:div w:id="1525249939">
          <w:marLeft w:val="0"/>
          <w:marRight w:val="0"/>
          <w:marTop w:val="0"/>
          <w:marBottom w:val="0"/>
          <w:divBdr>
            <w:top w:val="none" w:sz="0" w:space="0" w:color="auto"/>
            <w:left w:val="none" w:sz="0" w:space="0" w:color="auto"/>
            <w:bottom w:val="none" w:sz="0" w:space="0" w:color="auto"/>
            <w:right w:val="none" w:sz="0" w:space="0" w:color="auto"/>
          </w:divBdr>
        </w:div>
      </w:divsChild>
    </w:div>
    <w:div w:id="1901205007">
      <w:bodyDiv w:val="1"/>
      <w:marLeft w:val="0"/>
      <w:marRight w:val="0"/>
      <w:marTop w:val="0"/>
      <w:marBottom w:val="0"/>
      <w:divBdr>
        <w:top w:val="none" w:sz="0" w:space="0" w:color="auto"/>
        <w:left w:val="none" w:sz="0" w:space="0" w:color="auto"/>
        <w:bottom w:val="none" w:sz="0" w:space="0" w:color="auto"/>
        <w:right w:val="none" w:sz="0" w:space="0" w:color="auto"/>
      </w:divBdr>
      <w:divsChild>
        <w:div w:id="619459055">
          <w:marLeft w:val="0"/>
          <w:marRight w:val="0"/>
          <w:marTop w:val="0"/>
          <w:marBottom w:val="0"/>
          <w:divBdr>
            <w:top w:val="none" w:sz="0" w:space="0" w:color="auto"/>
            <w:left w:val="none" w:sz="0" w:space="0" w:color="auto"/>
            <w:bottom w:val="none" w:sz="0" w:space="0" w:color="auto"/>
            <w:right w:val="none" w:sz="0" w:space="0" w:color="auto"/>
          </w:divBdr>
          <w:divsChild>
            <w:div w:id="1833987267">
              <w:marLeft w:val="0"/>
              <w:marRight w:val="0"/>
              <w:marTop w:val="0"/>
              <w:marBottom w:val="0"/>
              <w:divBdr>
                <w:top w:val="none" w:sz="0" w:space="0" w:color="auto"/>
                <w:left w:val="none" w:sz="0" w:space="0" w:color="auto"/>
                <w:bottom w:val="none" w:sz="0" w:space="0" w:color="auto"/>
                <w:right w:val="none" w:sz="0" w:space="0" w:color="auto"/>
              </w:divBdr>
              <w:divsChild>
                <w:div w:id="767892994">
                  <w:marLeft w:val="0"/>
                  <w:marRight w:val="0"/>
                  <w:marTop w:val="0"/>
                  <w:marBottom w:val="0"/>
                  <w:divBdr>
                    <w:top w:val="none" w:sz="0" w:space="0" w:color="auto"/>
                    <w:left w:val="none" w:sz="0" w:space="0" w:color="auto"/>
                    <w:bottom w:val="none" w:sz="0" w:space="0" w:color="auto"/>
                    <w:right w:val="none" w:sz="0" w:space="0" w:color="auto"/>
                  </w:divBdr>
                  <w:divsChild>
                    <w:div w:id="49499766">
                      <w:marLeft w:val="0"/>
                      <w:marRight w:val="0"/>
                      <w:marTop w:val="0"/>
                      <w:marBottom w:val="0"/>
                      <w:divBdr>
                        <w:top w:val="none" w:sz="0" w:space="0" w:color="auto"/>
                        <w:left w:val="none" w:sz="0" w:space="0" w:color="auto"/>
                        <w:bottom w:val="none" w:sz="0" w:space="0" w:color="auto"/>
                        <w:right w:val="none" w:sz="0" w:space="0" w:color="auto"/>
                      </w:divBdr>
                      <w:divsChild>
                        <w:div w:id="962421153">
                          <w:marLeft w:val="0"/>
                          <w:marRight w:val="0"/>
                          <w:marTop w:val="300"/>
                          <w:marBottom w:val="0"/>
                          <w:divBdr>
                            <w:top w:val="none" w:sz="0" w:space="0" w:color="auto"/>
                            <w:left w:val="none" w:sz="0" w:space="0" w:color="auto"/>
                            <w:bottom w:val="none" w:sz="0" w:space="0" w:color="auto"/>
                            <w:right w:val="none" w:sz="0" w:space="0" w:color="auto"/>
                          </w:divBdr>
                          <w:divsChild>
                            <w:div w:id="1299409930">
                              <w:marLeft w:val="0"/>
                              <w:marRight w:val="0"/>
                              <w:marTop w:val="0"/>
                              <w:marBottom w:val="0"/>
                              <w:divBdr>
                                <w:top w:val="none" w:sz="0" w:space="0" w:color="auto"/>
                                <w:left w:val="none" w:sz="0" w:space="0" w:color="auto"/>
                                <w:bottom w:val="none" w:sz="0" w:space="0" w:color="auto"/>
                                <w:right w:val="none" w:sz="0" w:space="0" w:color="auto"/>
                              </w:divBdr>
                            </w:div>
                            <w:div w:id="1666274445">
                              <w:marLeft w:val="0"/>
                              <w:marRight w:val="0"/>
                              <w:marTop w:val="0"/>
                              <w:marBottom w:val="0"/>
                              <w:divBdr>
                                <w:top w:val="none" w:sz="0" w:space="0" w:color="auto"/>
                                <w:left w:val="none" w:sz="0" w:space="0" w:color="auto"/>
                                <w:bottom w:val="none" w:sz="0" w:space="0" w:color="auto"/>
                                <w:right w:val="none" w:sz="0" w:space="0" w:color="auto"/>
                              </w:divBdr>
                            </w:div>
                          </w:divsChild>
                        </w:div>
                        <w:div w:id="1382291706">
                          <w:marLeft w:val="0"/>
                          <w:marRight w:val="0"/>
                          <w:marTop w:val="300"/>
                          <w:marBottom w:val="0"/>
                          <w:divBdr>
                            <w:top w:val="none" w:sz="0" w:space="0" w:color="auto"/>
                            <w:left w:val="none" w:sz="0" w:space="0" w:color="auto"/>
                            <w:bottom w:val="none" w:sz="0" w:space="0" w:color="auto"/>
                            <w:right w:val="none" w:sz="0" w:space="0" w:color="auto"/>
                          </w:divBdr>
                          <w:divsChild>
                            <w:div w:id="1511331900">
                              <w:marLeft w:val="0"/>
                              <w:marRight w:val="0"/>
                              <w:marTop w:val="0"/>
                              <w:marBottom w:val="0"/>
                              <w:divBdr>
                                <w:top w:val="none" w:sz="0" w:space="0" w:color="auto"/>
                                <w:left w:val="none" w:sz="0" w:space="0" w:color="auto"/>
                                <w:bottom w:val="none" w:sz="0" w:space="0" w:color="auto"/>
                                <w:right w:val="none" w:sz="0" w:space="0" w:color="auto"/>
                              </w:divBdr>
                            </w:div>
                          </w:divsChild>
                        </w:div>
                        <w:div w:id="1798795779">
                          <w:marLeft w:val="0"/>
                          <w:marRight w:val="0"/>
                          <w:marTop w:val="0"/>
                          <w:marBottom w:val="0"/>
                          <w:divBdr>
                            <w:top w:val="none" w:sz="0" w:space="0" w:color="auto"/>
                            <w:left w:val="none" w:sz="0" w:space="0" w:color="auto"/>
                            <w:bottom w:val="none" w:sz="0" w:space="0" w:color="auto"/>
                            <w:right w:val="none" w:sz="0" w:space="0" w:color="auto"/>
                          </w:divBdr>
                          <w:divsChild>
                            <w:div w:id="1337879736">
                              <w:marLeft w:val="0"/>
                              <w:marRight w:val="0"/>
                              <w:marTop w:val="240"/>
                              <w:marBottom w:val="0"/>
                              <w:divBdr>
                                <w:top w:val="none" w:sz="0" w:space="0" w:color="auto"/>
                                <w:left w:val="none" w:sz="0" w:space="0" w:color="auto"/>
                                <w:bottom w:val="none" w:sz="0" w:space="0" w:color="auto"/>
                                <w:right w:val="none" w:sz="0" w:space="0" w:color="auto"/>
                              </w:divBdr>
                              <w:divsChild>
                                <w:div w:id="1792936712">
                                  <w:marLeft w:val="0"/>
                                  <w:marRight w:val="0"/>
                                  <w:marTop w:val="195"/>
                                  <w:marBottom w:val="195"/>
                                  <w:divBdr>
                                    <w:top w:val="none" w:sz="0" w:space="0" w:color="auto"/>
                                    <w:left w:val="none" w:sz="0" w:space="0" w:color="auto"/>
                                    <w:bottom w:val="none" w:sz="0" w:space="0" w:color="auto"/>
                                    <w:right w:val="none" w:sz="0" w:space="0" w:color="auto"/>
                                  </w:divBdr>
                                </w:div>
                              </w:divsChild>
                            </w:div>
                            <w:div w:id="1406688486">
                              <w:marLeft w:val="150"/>
                              <w:marRight w:val="150"/>
                              <w:marTop w:val="480"/>
                              <w:marBottom w:val="0"/>
                              <w:divBdr>
                                <w:top w:val="none" w:sz="0" w:space="0" w:color="auto"/>
                                <w:left w:val="none" w:sz="0" w:space="0" w:color="auto"/>
                                <w:bottom w:val="none" w:sz="0" w:space="0" w:color="auto"/>
                                <w:right w:val="none" w:sz="0" w:space="0" w:color="auto"/>
                              </w:divBdr>
                            </w:div>
                          </w:divsChild>
                        </w:div>
                        <w:div w:id="1927306822">
                          <w:marLeft w:val="0"/>
                          <w:marRight w:val="0"/>
                          <w:marTop w:val="0"/>
                          <w:marBottom w:val="0"/>
                          <w:divBdr>
                            <w:top w:val="none" w:sz="0" w:space="0" w:color="auto"/>
                            <w:left w:val="none" w:sz="0" w:space="0" w:color="auto"/>
                            <w:bottom w:val="none" w:sz="0" w:space="0" w:color="auto"/>
                            <w:right w:val="none" w:sz="0" w:space="0" w:color="auto"/>
                          </w:divBdr>
                          <w:divsChild>
                            <w:div w:id="1542324901">
                              <w:marLeft w:val="0"/>
                              <w:marRight w:val="0"/>
                              <w:marTop w:val="0"/>
                              <w:marBottom w:val="0"/>
                              <w:divBdr>
                                <w:top w:val="none" w:sz="0" w:space="0" w:color="auto"/>
                                <w:left w:val="none" w:sz="0" w:space="0" w:color="auto"/>
                                <w:bottom w:val="none" w:sz="0" w:space="0" w:color="auto"/>
                                <w:right w:val="none" w:sz="0" w:space="0" w:color="auto"/>
                              </w:divBdr>
                            </w:div>
                            <w:div w:id="209161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2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083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40958" TargetMode="External"/><Relationship Id="rId18" Type="http://schemas.openxmlformats.org/officeDocument/2006/relationships/hyperlink" Target="https://www.esfondi.lv/normativie-akti-un-dokumenti/2021-2027-planosanas-periods/vienas-vienibas-izmaksu-standarta-likmes-aprekina-un-piemerosanas-metodika-1-km-izmaksam-darbibas-programmas-izaugsme-un-nodarbinatiba-un-eiropas-savienibas-kohezijas-politikas-programmas-2021-2027-gadam-istenosanai"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likumi.lv/ta/id/337734-eiropas-savienibas-atveselosanas-un-noturibas-mehanisma-plana-4-1-1-r-reformas-uz-cilveku-centretas-visaptverosas-integretas-ve..." TargetMode="External"/><Relationship Id="rId17" Type="http://schemas.openxmlformats.org/officeDocument/2006/relationships/hyperlink" Target="https://www.esfondi.lv/normativie-akti-un-dokumenti/2021-2027-planosanas-periods/vienas-vienibas-izmaksu-standarta-likmes-aprekina-un-piemerosanas-metodika-1-km-izmaksam-darbibas-programmas-izaugsme-un-nodarbinatiba-un-eiropas-savienibas-kohezijas-politikas-programmas-2021-2027-gadam-istenosanai" TargetMode="External"/><Relationship Id="rId25"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hyperlink" Target="https://likumi.lv/ta/id/325798-valsts-informacijas-sistemu-attistibas-projektu-uzraudzibas-kartib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likumi.lv/ta/id/325798-valsts-informacijas-sistemu-attistibas-projektu-uzraudzibas-kartiba"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340958" TargetMode="External"/><Relationship Id="rId22"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D932A2B5-3C92-40BD-BAA4-1335216430AC}">
    <t:Anchor>
      <t:Comment id="1897027004"/>
    </t:Anchor>
    <t:History>
      <t:Event id="{BC110B50-7FF3-4F48-81F2-20E19F8DFDE2}" time="2025-11-06T15:23:57.137Z">
        <t:Attribution userId="S::alagzdina1@rakus.lv::5131678c-f46d-4b36-9c89-423ae00ba4b6" userProvider="AD" userName="Aija Lagzdiņa"/>
        <t:Anchor>
          <t:Comment id="1897027004"/>
        </t:Anchor>
        <t:Create/>
      </t:Event>
      <t:Event id="{4C33EE35-F16E-4FE3-BE05-314E8CD53050}" time="2025-11-06T15:23:57.137Z">
        <t:Attribution userId="S::alagzdina1@rakus.lv::5131678c-f46d-4b36-9c89-423ae00ba4b6" userProvider="AD" userName="Aija Lagzdiņa"/>
        <t:Anchor>
          <t:Comment id="1897027004"/>
        </t:Anchor>
        <t:Assign userId="S::kputra@rakus.lv::e5a373f8-79aa-49ac-a349-774e61e66fd7" userProvider="AD" userName="Kristīne Putra"/>
      </t:Event>
      <t:Event id="{9E6867BA-EB3C-4496-9496-CD1A570316CD}" time="2025-11-06T15:23:57.137Z">
        <t:Attribution userId="S::alagzdina1@rakus.lv::5131678c-f46d-4b36-9c89-423ae00ba4b6" userProvider="AD" userName="Aija Lagzdiņa"/>
        <t:Anchor>
          <t:Comment id="1897027004"/>
        </t:Anchor>
        <t:SetTitle title="@Kristīne Putra nevaru atrast, kur bija minēts, ka uzturēšana pienākas KUS, un nav iekļauts LDVC. Vēl vai Tu, lūdzu, varētu pārskatīt tos koeficientus beigās ar dzeltenu, kas vēl palikuši, vai nav mainīijušās atsauce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8820A9763847344A5ABEDC13366AB5B" ma:contentTypeVersion="14" ma:contentTypeDescription="Create a new document." ma:contentTypeScope="" ma:versionID="9f934b901a7165529de2f5579e3beb2c">
  <xsd:schema xmlns:xsd="http://www.w3.org/2001/XMLSchema" xmlns:xs="http://www.w3.org/2001/XMLSchema" xmlns:p="http://schemas.microsoft.com/office/2006/metadata/properties" xmlns:ns2="0519a33a-2395-49bd-81b5-4ef1cede3338" xmlns:ns3="337a4cae-93ca-448a-8b2f-8a572699254c" targetNamespace="http://schemas.microsoft.com/office/2006/metadata/properties" ma:root="true" ma:fieldsID="faa1d84f1bcd301c483f06bbc03bb662" ns2:_="" ns3:_="">
    <xsd:import namespace="0519a33a-2395-49bd-81b5-4ef1cede3338"/>
    <xsd:import namespace="337a4cae-93ca-448a-8b2f-8a57269925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19a33a-2395-49bd-81b5-4ef1cede33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0ccc4561-d8d5-4713-8925-55e0a885b33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37a4cae-93ca-448a-8b2f-8a572699254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9657167-2084-4e00-85fb-0fd5af1a287d}" ma:internalName="TaxCatchAll" ma:showField="CatchAllData" ma:web="337a4cae-93ca-448a-8b2f-8a572699254c">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519a33a-2395-49bd-81b5-4ef1cede3338">
      <Terms xmlns="http://schemas.microsoft.com/office/infopath/2007/PartnerControls"/>
    </lcf76f155ced4ddcb4097134ff3c332f>
    <TaxCatchAll xmlns="337a4cae-93ca-448a-8b2f-8a572699254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92378D-06CC-4815-918F-834810F1EC32}">
  <ds:schemaRefs>
    <ds:schemaRef ds:uri="http://schemas.openxmlformats.org/officeDocument/2006/bibliography"/>
  </ds:schemaRefs>
</ds:datastoreItem>
</file>

<file path=customXml/itemProps2.xml><?xml version="1.0" encoding="utf-8"?>
<ds:datastoreItem xmlns:ds="http://schemas.openxmlformats.org/officeDocument/2006/customXml" ds:itemID="{C2C6CC28-A46C-4162-80F9-5B649494A9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19a33a-2395-49bd-81b5-4ef1cede3338"/>
    <ds:schemaRef ds:uri="337a4cae-93ca-448a-8b2f-8a5726992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14EF9E-871F-4773-A3E4-045A893424BA}">
  <ds:schemaRefs>
    <ds:schemaRef ds:uri="http://schemas.microsoft.com/office/2006/metadata/properties"/>
    <ds:schemaRef ds:uri="http://schemas.microsoft.com/office/infopath/2007/PartnerControls"/>
    <ds:schemaRef ds:uri="0519a33a-2395-49bd-81b5-4ef1cede3338"/>
    <ds:schemaRef ds:uri="337a4cae-93ca-448a-8b2f-8a572699254c"/>
  </ds:schemaRefs>
</ds:datastoreItem>
</file>

<file path=customXml/itemProps4.xml><?xml version="1.0" encoding="utf-8"?>
<ds:datastoreItem xmlns:ds="http://schemas.openxmlformats.org/officeDocument/2006/customXml" ds:itemID="{DEC04593-B8DC-41C1-B3F5-DE140294B0A3}">
  <ds:schemaRefs>
    <ds:schemaRef ds:uri="http://schemas.microsoft.com/sharepoint/v3/contenttype/forms"/>
  </ds:schemaRefs>
</ds:datastoreItem>
</file>

<file path=docMetadata/LabelInfo.xml><?xml version="1.0" encoding="utf-8"?>
<clbl:labelList xmlns:clbl="http://schemas.microsoft.com/office/2020/mipLabelMetadata">
  <clbl:label id="{171abc8c-0b18-4336-97d7-51d65f5c7f99}" enabled="1" method="Standard" siteId="{dbc9012d-628b-43d4-b190-8a730f7e1e96}"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13</Pages>
  <Words>20536</Words>
  <Characters>11707</Characters>
  <Application>Microsoft Office Word</Application>
  <DocSecurity>0</DocSecurity>
  <Lines>97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Lagzdiņa</dc:creator>
  <cp:keywords/>
  <dc:description/>
  <cp:lastModifiedBy>Inese Lismane</cp:lastModifiedBy>
  <cp:revision>3</cp:revision>
  <dcterms:created xsi:type="dcterms:W3CDTF">2026-01-19T09:09:00Z</dcterms:created>
  <dcterms:modified xsi:type="dcterms:W3CDTF">2026-01-19T09:09:00Z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0x010100B8820A9763847344A5ABEDC13366AB5B</vt:lpwstr>
  </property>
  <property fmtid="{D5CDD505-2E9C-101B-9397-08002B2CF9AE}" pid="3" name="MediaServiceImageTags">
    <vt:lpwstr/>
  </property>
</Properties>
</file>