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0590C" w14:textId="77777777" w:rsidR="00D249E0" w:rsidRPr="00CD0DB2" w:rsidRDefault="00D249E0" w:rsidP="00D249E0">
      <w:pPr>
        <w:spacing w:before="130" w:after="0" w:line="260" w:lineRule="exact"/>
        <w:ind w:firstLine="539"/>
        <w:jc w:val="right"/>
        <w:rPr>
          <w:rFonts w:ascii="Cambria" w:eastAsia="Times New Roman" w:hAnsi="Cambria" w:cs="Times New Roman"/>
          <w:sz w:val="19"/>
          <w:szCs w:val="24"/>
          <w:lang w:val="en-GB" w:eastAsia="en-GB"/>
        </w:rPr>
      </w:pPr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 xml:space="preserve">1. </w:t>
      </w:r>
      <w:proofErr w:type="spellStart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>pielikums</w:t>
      </w:r>
      <w:proofErr w:type="spellEnd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br/>
      </w:r>
      <w:proofErr w:type="spellStart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>Ministru</w:t>
      </w:r>
      <w:proofErr w:type="spellEnd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 xml:space="preserve"> </w:t>
      </w:r>
      <w:proofErr w:type="spellStart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>kabineta</w:t>
      </w:r>
      <w:proofErr w:type="spellEnd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br/>
        <w:t xml:space="preserve">2025. gada 16. </w:t>
      </w:r>
      <w:proofErr w:type="spellStart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>decembra</w:t>
      </w:r>
      <w:proofErr w:type="spellEnd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br/>
      </w:r>
      <w:proofErr w:type="spellStart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>noteikumiem</w:t>
      </w:r>
      <w:proofErr w:type="spellEnd"/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 xml:space="preserve"> Nr. 763</w:t>
      </w:r>
    </w:p>
    <w:p w14:paraId="4A94E625" w14:textId="77777777" w:rsidR="00D249E0" w:rsidRPr="00CD0DB2" w:rsidRDefault="00D249E0" w:rsidP="00D249E0">
      <w:pPr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bCs/>
          <w:szCs w:val="24"/>
          <w:lang w:val="en-GB" w:eastAsia="en-GB"/>
        </w:rPr>
      </w:pPr>
      <w:proofErr w:type="spellStart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>Prioritārā</w:t>
      </w:r>
      <w:proofErr w:type="spellEnd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 xml:space="preserve"> </w:t>
      </w:r>
      <w:proofErr w:type="spellStart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>projekta</w:t>
      </w:r>
      <w:proofErr w:type="spellEnd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 xml:space="preserve"> </w:t>
      </w:r>
      <w:proofErr w:type="spellStart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>iesniedzēja</w:t>
      </w:r>
      <w:proofErr w:type="spellEnd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 xml:space="preserve"> </w:t>
      </w:r>
      <w:proofErr w:type="spellStart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>atbilstības</w:t>
      </w:r>
      <w:proofErr w:type="spellEnd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 xml:space="preserve"> </w:t>
      </w:r>
      <w:proofErr w:type="spellStart"/>
      <w:r w:rsidRPr="00CD0DB2">
        <w:rPr>
          <w:rFonts w:ascii="Cambria" w:eastAsia="Times New Roman" w:hAnsi="Cambria" w:cs="Times New Roman"/>
          <w:b/>
          <w:bCs/>
          <w:szCs w:val="24"/>
          <w:lang w:val="en-GB" w:eastAsia="en-GB"/>
        </w:rPr>
        <w:t>kritēriji</w:t>
      </w:r>
      <w:proofErr w:type="spellEnd"/>
    </w:p>
    <w:p w14:paraId="4D4DE98A" w14:textId="77777777" w:rsidR="00D249E0" w:rsidRPr="00CD0DB2" w:rsidRDefault="00D249E0" w:rsidP="00D249E0">
      <w:pPr>
        <w:spacing w:before="130" w:after="0" w:line="260" w:lineRule="exact"/>
        <w:ind w:firstLine="539"/>
        <w:jc w:val="center"/>
        <w:outlineLvl w:val="3"/>
        <w:rPr>
          <w:rFonts w:ascii="Cambria" w:eastAsia="Times New Roman" w:hAnsi="Cambria" w:cs="Times New Roman"/>
          <w:b/>
          <w:bCs/>
          <w:sz w:val="19"/>
          <w:szCs w:val="24"/>
          <w:lang w:val="en-GB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1"/>
        <w:gridCol w:w="6791"/>
        <w:gridCol w:w="692"/>
        <w:gridCol w:w="736"/>
      </w:tblGrid>
      <w:tr w:rsidR="00D249E0" w:rsidRPr="00CD0DB2" w14:paraId="2E8869DA" w14:textId="77777777" w:rsidTr="0090215A">
        <w:tc>
          <w:tcPr>
            <w:tcW w:w="645" w:type="dxa"/>
            <w:vAlign w:val="center"/>
            <w:hideMark/>
          </w:tcPr>
          <w:p w14:paraId="410533A4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Nr.</w:t>
            </w:r>
          </w:p>
          <w:p w14:paraId="7F9AF29E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p. k.</w:t>
            </w:r>
          </w:p>
        </w:tc>
        <w:tc>
          <w:tcPr>
            <w:tcW w:w="11505" w:type="dxa"/>
            <w:vAlign w:val="center"/>
            <w:hideMark/>
          </w:tcPr>
          <w:p w14:paraId="765A81A5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Kritērijs</w:t>
            </w:r>
            <w:proofErr w:type="spellEnd"/>
          </w:p>
        </w:tc>
        <w:tc>
          <w:tcPr>
            <w:tcW w:w="1125" w:type="dxa"/>
            <w:vAlign w:val="center"/>
            <w:hideMark/>
          </w:tcPr>
          <w:p w14:paraId="092C86AA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Jā</w:t>
            </w:r>
            <w:proofErr w:type="spellEnd"/>
          </w:p>
        </w:tc>
        <w:tc>
          <w:tcPr>
            <w:tcW w:w="1200" w:type="dxa"/>
            <w:vAlign w:val="center"/>
            <w:hideMark/>
          </w:tcPr>
          <w:p w14:paraId="0C36D4A5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Nē</w:t>
            </w:r>
            <w:proofErr w:type="spellEnd"/>
          </w:p>
        </w:tc>
      </w:tr>
      <w:tr w:rsidR="00D249E0" w:rsidRPr="00CD0DB2" w14:paraId="56592383" w14:textId="77777777" w:rsidTr="0090215A">
        <w:tc>
          <w:tcPr>
            <w:tcW w:w="645" w:type="dxa"/>
            <w:vAlign w:val="center"/>
            <w:hideMark/>
          </w:tcPr>
          <w:p w14:paraId="4251949B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1.</w:t>
            </w:r>
          </w:p>
        </w:tc>
        <w:tc>
          <w:tcPr>
            <w:tcW w:w="11505" w:type="dxa"/>
            <w:vAlign w:val="center"/>
            <w:hideMark/>
          </w:tcPr>
          <w:p w14:paraId="4EBED1EE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Prioritārā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iesniedzējs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atbilst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šo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noteikumu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2.1.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apakšpunktā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noteiktajam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prioritārā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iesniedzēja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juridiskajam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statusam</w:t>
            </w:r>
            <w:proofErr w:type="spellEnd"/>
          </w:p>
        </w:tc>
        <w:tc>
          <w:tcPr>
            <w:tcW w:w="1125" w:type="dxa"/>
            <w:vAlign w:val="center"/>
            <w:hideMark/>
          </w:tcPr>
          <w:p w14:paraId="09886637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200" w:type="dxa"/>
            <w:vAlign w:val="center"/>
            <w:hideMark/>
          </w:tcPr>
          <w:p w14:paraId="50C5FBC9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</w:tr>
      <w:tr w:rsidR="00D249E0" w:rsidRPr="00CD0DB2" w14:paraId="2F3C5FEC" w14:textId="77777777" w:rsidTr="0090215A">
        <w:tc>
          <w:tcPr>
            <w:tcW w:w="645" w:type="dxa"/>
            <w:vAlign w:val="center"/>
            <w:hideMark/>
          </w:tcPr>
          <w:p w14:paraId="34B43C18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2.</w:t>
            </w:r>
          </w:p>
        </w:tc>
        <w:tc>
          <w:tcPr>
            <w:tcW w:w="11505" w:type="dxa"/>
            <w:vAlign w:val="center"/>
            <w:hideMark/>
          </w:tcPr>
          <w:p w14:paraId="017246F4" w14:textId="77777777" w:rsidR="00D249E0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Prioritārā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iesniedzējam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pirms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atbalsta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piešķiršanas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ar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Valsts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ieņēmumu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dienesta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administrēto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nodokļu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(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nodevu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)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parādnieku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datubāzē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pieejamo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informāciju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nodokļu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nodevu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parādu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, tai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skaitā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valsts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sociālās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apdrošināšanas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obligāto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iemaksu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parādu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, kas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kopsummā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pārsniedz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1000 </w:t>
            </w:r>
            <w:r w:rsidRPr="00CD0DB2">
              <w:rPr>
                <w:rFonts w:ascii="Cambria" w:eastAsia="Times New Roman" w:hAnsi="Cambria" w:cs="Times New Roman"/>
                <w:i/>
                <w:iCs/>
                <w:sz w:val="19"/>
                <w:szCs w:val="24"/>
                <w:lang w:val="en-GB" w:eastAsia="en-GB"/>
              </w:rPr>
              <w:t>euro</w:t>
            </w: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izņemot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nodokļu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maksājumus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, kuru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maksāšanas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termiņš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ar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likuma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"Par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nodokļiem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nodevām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" 24.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panta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pirmo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, 1.</w:t>
            </w:r>
            <w:r w:rsidRPr="00CD0DB2">
              <w:rPr>
                <w:rFonts w:ascii="Cambria" w:eastAsia="Times New Roman" w:hAnsi="Cambria" w:cs="Times New Roman"/>
                <w:sz w:val="19"/>
                <w:szCs w:val="24"/>
                <w:vertAlign w:val="superscript"/>
                <w:lang w:val="en-GB" w:eastAsia="en-GB"/>
              </w:rPr>
              <w:t>3</w:t>
            </w: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un 1.</w:t>
            </w:r>
            <w:r w:rsidRPr="00CD0DB2">
              <w:rPr>
                <w:rFonts w:ascii="Cambria" w:eastAsia="Times New Roman" w:hAnsi="Cambria" w:cs="Times New Roman"/>
                <w:sz w:val="19"/>
                <w:szCs w:val="24"/>
                <w:vertAlign w:val="superscript"/>
                <w:lang w:val="en-GB" w:eastAsia="en-GB"/>
              </w:rPr>
              <w:t>7</w:t>
            </w: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daļu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ir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pagarināts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sadalīts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termiņos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,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atlikts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atkārtoti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sadalīts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termiņos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attiecībā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uz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kuriem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ir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noslēgts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vienošanās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līgums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ar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likuma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"Par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nodokļiem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nodevām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" </w:t>
            </w:r>
          </w:p>
          <w:p w14:paraId="1818B724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41.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pantu</w:t>
            </w:r>
            <w:proofErr w:type="spellEnd"/>
          </w:p>
        </w:tc>
        <w:tc>
          <w:tcPr>
            <w:tcW w:w="1125" w:type="dxa"/>
            <w:vAlign w:val="center"/>
            <w:hideMark/>
          </w:tcPr>
          <w:p w14:paraId="073691E9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200" w:type="dxa"/>
            <w:vAlign w:val="center"/>
            <w:hideMark/>
          </w:tcPr>
          <w:p w14:paraId="53884E9B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</w:tr>
      <w:tr w:rsidR="00D249E0" w:rsidRPr="00CD0DB2" w14:paraId="2ADBE137" w14:textId="77777777" w:rsidTr="0090215A">
        <w:tc>
          <w:tcPr>
            <w:tcW w:w="645" w:type="dxa"/>
            <w:vAlign w:val="center"/>
            <w:hideMark/>
          </w:tcPr>
          <w:p w14:paraId="3A38A72B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3.</w:t>
            </w:r>
          </w:p>
        </w:tc>
        <w:tc>
          <w:tcPr>
            <w:tcW w:w="11505" w:type="dxa"/>
            <w:vAlign w:val="center"/>
            <w:hideMark/>
          </w:tcPr>
          <w:p w14:paraId="2A71EC92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Ja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atbalsts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tiek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piešķirts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saskaņā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ar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Komisijas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regulu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Nr. 2023/2831,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iesniegums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atbilst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visiem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minētās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regulas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kritērijiem</w:t>
            </w:r>
            <w:proofErr w:type="spellEnd"/>
          </w:p>
        </w:tc>
        <w:tc>
          <w:tcPr>
            <w:tcW w:w="1125" w:type="dxa"/>
            <w:vAlign w:val="center"/>
            <w:hideMark/>
          </w:tcPr>
          <w:p w14:paraId="6F8D6F9C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200" w:type="dxa"/>
            <w:vAlign w:val="center"/>
            <w:hideMark/>
          </w:tcPr>
          <w:p w14:paraId="1FFF93F5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</w:tr>
      <w:tr w:rsidR="00D249E0" w:rsidRPr="00CD0DB2" w14:paraId="7935D9F7" w14:textId="77777777" w:rsidTr="0090215A">
        <w:tc>
          <w:tcPr>
            <w:tcW w:w="645" w:type="dxa"/>
            <w:vAlign w:val="center"/>
            <w:hideMark/>
          </w:tcPr>
          <w:p w14:paraId="505BD232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4.</w:t>
            </w:r>
          </w:p>
        </w:tc>
        <w:tc>
          <w:tcPr>
            <w:tcW w:w="11505" w:type="dxa"/>
            <w:vAlign w:val="center"/>
            <w:hideMark/>
          </w:tcPr>
          <w:p w14:paraId="6D9BB27C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iesniedzējam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pasludināts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maksātnespējas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process,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ierosināta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tiesiskās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aizsardzības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procesa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lieta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netiek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īstenots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tiesiskās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aizsardzības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process, nav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apturēta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pārtraukta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saimnieciskā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darbība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uzsākts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likvidācijas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process</w:t>
            </w:r>
          </w:p>
        </w:tc>
        <w:tc>
          <w:tcPr>
            <w:tcW w:w="1125" w:type="dxa"/>
            <w:vAlign w:val="center"/>
            <w:hideMark/>
          </w:tcPr>
          <w:p w14:paraId="091B3596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200" w:type="dxa"/>
            <w:vAlign w:val="center"/>
            <w:hideMark/>
          </w:tcPr>
          <w:p w14:paraId="73E37CC0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</w:tr>
      <w:tr w:rsidR="00D249E0" w:rsidRPr="00CD0DB2" w14:paraId="158279E7" w14:textId="77777777" w:rsidTr="0090215A">
        <w:tc>
          <w:tcPr>
            <w:tcW w:w="645" w:type="dxa"/>
            <w:vAlign w:val="center"/>
            <w:hideMark/>
          </w:tcPr>
          <w:p w14:paraId="21F7E1A0" w14:textId="77777777" w:rsidR="00D249E0" w:rsidRPr="00CD0DB2" w:rsidRDefault="00D249E0" w:rsidP="0090215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5.</w:t>
            </w:r>
          </w:p>
        </w:tc>
        <w:tc>
          <w:tcPr>
            <w:tcW w:w="11505" w:type="dxa"/>
            <w:vAlign w:val="center"/>
            <w:hideMark/>
          </w:tcPr>
          <w:p w14:paraId="3D978B92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Projekta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iesniedzējam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nav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noteiktas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starptautiskās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nacionālās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sankcijas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būtiskas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finanšu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un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kapitāla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tirgus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intereses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ietekmējošas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Eiropas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Savienības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vai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Ziemeļatlantijas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līguma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organizācijas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dalībvalsts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noteiktās</w:t>
            </w:r>
            <w:proofErr w:type="spellEnd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sankcijas</w:t>
            </w:r>
            <w:proofErr w:type="spellEnd"/>
          </w:p>
        </w:tc>
        <w:tc>
          <w:tcPr>
            <w:tcW w:w="1125" w:type="dxa"/>
            <w:vAlign w:val="center"/>
            <w:hideMark/>
          </w:tcPr>
          <w:p w14:paraId="79D22EB6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200" w:type="dxa"/>
            <w:vAlign w:val="center"/>
            <w:hideMark/>
          </w:tcPr>
          <w:p w14:paraId="0F56F1AF" w14:textId="77777777" w:rsidR="00D249E0" w:rsidRPr="00CD0DB2" w:rsidRDefault="00D249E0" w:rsidP="0090215A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</w:pPr>
            <w:r w:rsidRPr="00CD0DB2">
              <w:rPr>
                <w:rFonts w:ascii="Cambria" w:eastAsia="Times New Roman" w:hAnsi="Cambria" w:cs="Times New Roman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498B56A7" w14:textId="77777777" w:rsidR="00D249E0" w:rsidRDefault="00D249E0" w:rsidP="00D249E0">
      <w:pPr>
        <w:spacing w:before="130" w:after="0" w:line="260" w:lineRule="exact"/>
        <w:ind w:firstLine="539"/>
        <w:rPr>
          <w:rFonts w:ascii="Cambria" w:eastAsia="Times New Roman" w:hAnsi="Cambria" w:cs="Times New Roman"/>
          <w:sz w:val="19"/>
          <w:szCs w:val="24"/>
          <w:lang w:val="en-GB" w:eastAsia="en-GB"/>
        </w:rPr>
      </w:pPr>
      <w:r w:rsidRPr="00CD0DB2">
        <w:rPr>
          <w:rFonts w:ascii="Cambria" w:eastAsia="Times New Roman" w:hAnsi="Cambria" w:cs="Times New Roman"/>
          <w:sz w:val="19"/>
          <w:szCs w:val="24"/>
          <w:lang w:val="en-GB" w:eastAsia="en-GB"/>
        </w:rPr>
        <w:t> </w:t>
      </w:r>
    </w:p>
    <w:p w14:paraId="59680A80" w14:textId="77777777" w:rsidR="00D249E0" w:rsidRDefault="00D249E0"/>
    <w:sectPr w:rsidR="00D249E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9E0"/>
    <w:rsid w:val="00921321"/>
    <w:rsid w:val="00D2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DC41C"/>
  <w15:chartTrackingRefBased/>
  <w15:docId w15:val="{D89CBCAD-699E-4692-B3CC-D4D7DFB7C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9E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49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9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9E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9E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9E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9E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9E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9E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9E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9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9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9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9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9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9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9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9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9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9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24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9E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249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9E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249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9E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249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9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9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9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2025-12-17T08:05:00Z</dcterms:created>
  <dcterms:modified xsi:type="dcterms:W3CDTF">2025-12-17T08:06:00Z</dcterms:modified>
</cp:coreProperties>
</file>