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53FA" w14:textId="77777777" w:rsidR="00492025" w:rsidRPr="00363B7F" w:rsidRDefault="00492025" w:rsidP="00492025">
      <w:pPr>
        <w:pStyle w:val="Sarakstarindkopa"/>
        <w:widowControl w:val="0"/>
        <w:tabs>
          <w:tab w:val="left" w:pos="4242"/>
        </w:tabs>
        <w:spacing w:before="130" w:after="0" w:line="260" w:lineRule="exact"/>
        <w:ind w:left="0"/>
        <w:contextualSpacing w:val="0"/>
        <w:jc w:val="right"/>
        <w:rPr>
          <w:rFonts w:ascii="Cambria" w:eastAsia="Times New Roman" w:hAnsi="Cambria" w:cs="Arial"/>
          <w:sz w:val="19"/>
          <w:szCs w:val="19"/>
          <w:lang w:eastAsia="lv-LV" w:bidi="lv-LV"/>
        </w:rPr>
      </w:pPr>
      <w:r w:rsidRPr="00363B7F">
        <w:rPr>
          <w:rFonts w:ascii="Cambria" w:hAnsi="Cambria" w:cs="Arial"/>
          <w:sz w:val="19"/>
          <w:szCs w:val="19"/>
        </w:rPr>
        <w:t>2. pielikums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br/>
      </w:r>
      <w:proofErr w:type="spellStart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>Dienvidkurzemes</w:t>
      </w:r>
      <w:proofErr w:type="spellEnd"/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t xml:space="preserve"> novada pašvaldības domes</w:t>
      </w:r>
      <w:r w:rsidRPr="00363B7F">
        <w:rPr>
          <w:rFonts w:ascii="Cambria" w:eastAsia="Times New Roman" w:hAnsi="Cambria" w:cs="Arial"/>
          <w:sz w:val="19"/>
          <w:szCs w:val="19"/>
          <w:lang w:eastAsia="lv-LV" w:bidi="lv-LV"/>
        </w:rPr>
        <w:br/>
        <w:t>27.03.2025. saistošajiem noteikumiem Nr. 2025/10</w:t>
      </w:r>
    </w:p>
    <w:p w14:paraId="3FA45F28" w14:textId="77777777" w:rsidR="00492025" w:rsidRPr="00461B7B" w:rsidRDefault="00492025" w:rsidP="00492025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19"/>
        </w:rPr>
      </w:pPr>
      <w:proofErr w:type="spellStart"/>
      <w:r w:rsidRPr="00461B7B">
        <w:rPr>
          <w:rFonts w:ascii="Cambria" w:hAnsi="Cambria"/>
          <w:b/>
          <w:szCs w:val="19"/>
        </w:rPr>
        <w:t>Dienvidkurzemes</w:t>
      </w:r>
      <w:proofErr w:type="spellEnd"/>
      <w:r w:rsidRPr="00461B7B">
        <w:rPr>
          <w:rFonts w:ascii="Cambria" w:hAnsi="Cambria"/>
          <w:b/>
          <w:szCs w:val="19"/>
        </w:rPr>
        <w:t xml:space="preserve"> novada pašvaldības līdzdalības budžeta projektu </w:t>
      </w:r>
      <w:r>
        <w:rPr>
          <w:rFonts w:ascii="Cambria" w:hAnsi="Cambria"/>
          <w:b/>
          <w:szCs w:val="19"/>
        </w:rPr>
        <w:br/>
      </w:r>
      <w:r w:rsidRPr="00461B7B">
        <w:rPr>
          <w:rFonts w:ascii="Cambria" w:hAnsi="Cambria"/>
          <w:b/>
          <w:szCs w:val="19"/>
        </w:rPr>
        <w:t>pieteikumu vērtēšanas kritēriji</w:t>
      </w:r>
    </w:p>
    <w:p w14:paraId="1FE36A5C" w14:textId="77777777" w:rsidR="00492025" w:rsidRPr="00363B7F" w:rsidRDefault="00492025" w:rsidP="00492025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5242"/>
        <w:gridCol w:w="1237"/>
        <w:gridCol w:w="1280"/>
      </w:tblGrid>
      <w:tr w:rsidR="00492025" w:rsidRPr="00461B7B" w14:paraId="11ADFF23" w14:textId="77777777" w:rsidTr="00BD738E">
        <w:trPr>
          <w:cantSplit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2740351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Nr.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7B02798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hAnsi="Cambria" w:cs="Arial"/>
                <w:i/>
                <w:iCs/>
                <w:sz w:val="19"/>
                <w:szCs w:val="19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Kritērijs</w:t>
            </w:r>
            <w:proofErr w:type="spellEnd"/>
            <w:r w:rsidRPr="00461B7B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br/>
            </w:r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(Lai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projektu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pieteikumu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nodotu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iedzīvotāju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balsojumam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, </w:t>
            </w:r>
            <w:r>
              <w:rPr>
                <w:rFonts w:ascii="Cambria" w:hAnsi="Cambria" w:cs="Arial"/>
                <w:i/>
                <w:iCs/>
                <w:sz w:val="19"/>
                <w:szCs w:val="19"/>
              </w:rPr>
              <w:br/>
            </w:r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tam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jāatbilst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visiem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norādītajiem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kritērijiem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.)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6BEBE515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Atbilst</w:t>
            </w:r>
            <w:r w:rsidRPr="00461B7B">
              <w:rPr>
                <w:rStyle w:val="Vresatsauce"/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footnoteReference w:id="1"/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53C041ED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t>Neatbilst</w:t>
            </w:r>
            <w:proofErr w:type="spellEnd"/>
            <w:r w:rsidRPr="00461B7B">
              <w:rPr>
                <w:rStyle w:val="Vresatsauce"/>
                <w:rFonts w:ascii="Cambria" w:eastAsia="Times New Roman" w:hAnsi="Cambria" w:cs="Arial"/>
                <w:b/>
                <w:bCs/>
                <w:sz w:val="19"/>
                <w:szCs w:val="19"/>
                <w:lang w:eastAsia="lv-LV" w:bidi="lv-LV"/>
              </w:rPr>
              <w:footnoteReference w:id="2"/>
            </w:r>
          </w:p>
        </w:tc>
      </w:tr>
      <w:tr w:rsidR="00492025" w:rsidRPr="00461B7B" w14:paraId="553427F4" w14:textId="77777777" w:rsidTr="00BD738E">
        <w:trPr>
          <w:cantSplit/>
        </w:trPr>
        <w:tc>
          <w:tcPr>
            <w:tcW w:w="595" w:type="dxa"/>
            <w:vAlign w:val="center"/>
          </w:tcPr>
          <w:p w14:paraId="5B21939E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1.</w:t>
            </w:r>
          </w:p>
        </w:tc>
        <w:tc>
          <w:tcPr>
            <w:tcW w:w="6237" w:type="dxa"/>
            <w:vAlign w:val="center"/>
          </w:tcPr>
          <w:p w14:paraId="3228ED31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pieteikums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iesniegts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paziņojumā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par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Konkursa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izsludināšanu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noteiktajā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termiņā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un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Nolikumā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noteiktajā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kārtībā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.</w:t>
            </w:r>
          </w:p>
        </w:tc>
        <w:tc>
          <w:tcPr>
            <w:tcW w:w="1374" w:type="dxa"/>
            <w:vAlign w:val="center"/>
          </w:tcPr>
          <w:p w14:paraId="67202DA4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5883D94C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63EC7FC4" w14:textId="77777777" w:rsidTr="00BD738E">
        <w:trPr>
          <w:cantSplit/>
        </w:trPr>
        <w:tc>
          <w:tcPr>
            <w:tcW w:w="595" w:type="dxa"/>
            <w:vAlign w:val="center"/>
          </w:tcPr>
          <w:p w14:paraId="4CED9255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2.</w:t>
            </w:r>
          </w:p>
        </w:tc>
        <w:tc>
          <w:tcPr>
            <w:tcW w:w="6237" w:type="dxa"/>
            <w:vAlign w:val="center"/>
          </w:tcPr>
          <w:p w14:paraId="5113A6C9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hAnsi="Cambria" w:cs="Arial"/>
                <w:sz w:val="19"/>
                <w:szCs w:val="19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pieteikuma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iesniedzējs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atbilst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Nolikuma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14.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punktā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noteiktajiem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kritērijiem</w:t>
            </w:r>
            <w:proofErr w:type="spellEnd"/>
            <w:r>
              <w:rPr>
                <w:rFonts w:ascii="Cambria" w:hAnsi="Cambria" w:cs="Arial"/>
                <w:sz w:val="19"/>
                <w:szCs w:val="19"/>
              </w:rPr>
              <w:br/>
            </w:r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–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fiziska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persona,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kura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sasniegusi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16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gadu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vecumu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>;</w:t>
            </w:r>
            <w:r>
              <w:rPr>
                <w:rFonts w:ascii="Cambria" w:hAnsi="Cambria" w:cs="Arial"/>
                <w:i/>
                <w:sz w:val="19"/>
                <w:szCs w:val="19"/>
              </w:rPr>
              <w:br/>
            </w:r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–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biedrība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vai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nodibinājums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kurā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nav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pašvaldības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sz w:val="19"/>
                <w:szCs w:val="19"/>
              </w:rPr>
              <w:t>dalības</w:t>
            </w:r>
            <w:proofErr w:type="spellEnd"/>
            <w:r w:rsidRPr="00461B7B">
              <w:rPr>
                <w:rFonts w:ascii="Cambria" w:hAnsi="Cambria" w:cs="Arial"/>
                <w:i/>
                <w:sz w:val="19"/>
                <w:szCs w:val="19"/>
              </w:rPr>
              <w:t>.</w:t>
            </w:r>
          </w:p>
        </w:tc>
        <w:tc>
          <w:tcPr>
            <w:tcW w:w="1374" w:type="dxa"/>
            <w:vAlign w:val="center"/>
          </w:tcPr>
          <w:p w14:paraId="79F25A09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6175167C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6C99CBE0" w14:textId="77777777" w:rsidTr="00BD738E">
        <w:trPr>
          <w:cantSplit/>
        </w:trPr>
        <w:tc>
          <w:tcPr>
            <w:tcW w:w="595" w:type="dxa"/>
            <w:vAlign w:val="center"/>
          </w:tcPr>
          <w:p w14:paraId="02EE718D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bookmarkStart w:id="0" w:name="_Hlk190183052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3.</w:t>
            </w:r>
          </w:p>
        </w:tc>
        <w:tc>
          <w:tcPr>
            <w:tcW w:w="6237" w:type="dxa"/>
            <w:vAlign w:val="center"/>
          </w:tcPr>
          <w:p w14:paraId="1086DE8E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realizēšanas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vieta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(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vērtē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atbilstošo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):</w:t>
            </w:r>
            <w:r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br/>
            </w:r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–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publiskā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lietošanā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esošs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pašvaldības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īpašums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Dienvidkurzemes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novadā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;</w:t>
            </w:r>
            <w:r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br/>
            </w:r>
            <w:r w:rsidRPr="00461B7B">
              <w:rPr>
                <w:rFonts w:ascii="Cambria" w:hAnsi="Cambria" w:cs="Arial"/>
                <w:i/>
                <w:sz w:val="19"/>
                <w:szCs w:val="19"/>
              </w:rPr>
              <w:t xml:space="preserve">–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citai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publiskai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personai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vai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privātpersonai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piederošs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īpašums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ar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attiecīgā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īpašnieka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rakstisku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saskaņojumu</w:t>
            </w:r>
            <w:proofErr w:type="spellEnd"/>
            <w:r w:rsidRPr="00461B7B">
              <w:rPr>
                <w:rFonts w:ascii="Cambria" w:eastAsia="Times New Roman" w:hAnsi="Cambria" w:cs="Arial"/>
                <w:i/>
                <w:sz w:val="19"/>
                <w:szCs w:val="19"/>
                <w:lang w:eastAsia="lv-LV" w:bidi="lv-LV"/>
              </w:rPr>
              <w:t>.</w:t>
            </w:r>
          </w:p>
        </w:tc>
        <w:tc>
          <w:tcPr>
            <w:tcW w:w="1374" w:type="dxa"/>
            <w:vAlign w:val="center"/>
          </w:tcPr>
          <w:p w14:paraId="2114A723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305CA103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602D79E8" w14:textId="77777777" w:rsidTr="00BD738E">
        <w:trPr>
          <w:cantSplit/>
        </w:trPr>
        <w:tc>
          <w:tcPr>
            <w:tcW w:w="595" w:type="dxa"/>
            <w:vAlign w:val="center"/>
          </w:tcPr>
          <w:p w14:paraId="632F3DC5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4.</w:t>
            </w:r>
          </w:p>
        </w:tc>
        <w:tc>
          <w:tcPr>
            <w:tcW w:w="6237" w:type="dxa"/>
            <w:vAlign w:val="center"/>
          </w:tcPr>
          <w:p w14:paraId="26618FE6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ir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iespējams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realizēt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noteiktajā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vietā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vai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neatbilstības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gadījumā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ir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iespējams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rast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alternatīvu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īstenošanas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vietu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</w:p>
        </w:tc>
        <w:tc>
          <w:tcPr>
            <w:tcW w:w="1374" w:type="dxa"/>
            <w:vAlign w:val="center"/>
          </w:tcPr>
          <w:p w14:paraId="07DA4286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5B36CB98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bookmarkEnd w:id="0"/>
      <w:tr w:rsidR="00492025" w:rsidRPr="00461B7B" w14:paraId="64EDF18F" w14:textId="77777777" w:rsidTr="00BD738E">
        <w:trPr>
          <w:cantSplit/>
        </w:trPr>
        <w:tc>
          <w:tcPr>
            <w:tcW w:w="595" w:type="dxa"/>
            <w:vAlign w:val="center"/>
          </w:tcPr>
          <w:p w14:paraId="4BAAA481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5.</w:t>
            </w:r>
          </w:p>
        </w:tc>
        <w:tc>
          <w:tcPr>
            <w:tcW w:w="6237" w:type="dxa"/>
            <w:vAlign w:val="center"/>
          </w:tcPr>
          <w:p w14:paraId="6C75BFED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Pievienota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korekta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un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pilnīga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tāme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  <w:r>
              <w:rPr>
                <w:rFonts w:ascii="Cambria" w:hAnsi="Cambria" w:cs="Arial"/>
                <w:sz w:val="19"/>
                <w:szCs w:val="19"/>
              </w:rPr>
              <w:br/>
            </w:r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(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Tāmē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ietvertas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visas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īstenošanai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nepieciešamās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izmaksas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norādīts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tāmes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sastādītājs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un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interneta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saites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vai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citi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informācijas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avoti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, no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kurienes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iegūta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informācija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par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izcenojumu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.)</w:t>
            </w:r>
          </w:p>
        </w:tc>
        <w:tc>
          <w:tcPr>
            <w:tcW w:w="1374" w:type="dxa"/>
            <w:vAlign w:val="center"/>
          </w:tcPr>
          <w:p w14:paraId="7C50E9D8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47280252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3B03E42B" w14:textId="77777777" w:rsidTr="00BD738E">
        <w:trPr>
          <w:cantSplit/>
        </w:trPr>
        <w:tc>
          <w:tcPr>
            <w:tcW w:w="595" w:type="dxa"/>
            <w:vAlign w:val="center"/>
          </w:tcPr>
          <w:p w14:paraId="1758D8C3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6.</w:t>
            </w:r>
          </w:p>
        </w:tc>
        <w:tc>
          <w:tcPr>
            <w:tcW w:w="6237" w:type="dxa"/>
            <w:vAlign w:val="center"/>
          </w:tcPr>
          <w:p w14:paraId="46807433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hAnsi="Cambria" w:cs="Arial"/>
                <w:sz w:val="19"/>
                <w:szCs w:val="19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Pievienota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skice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kurā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norādīti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visu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būtisko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elementu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izmēri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gramStart"/>
            <w:r w:rsidRPr="00461B7B">
              <w:rPr>
                <w:rFonts w:ascii="Cambria" w:hAnsi="Cambria" w:cs="Arial"/>
                <w:sz w:val="19"/>
                <w:szCs w:val="19"/>
              </w:rPr>
              <w:t>un to</w:t>
            </w:r>
            <w:proofErr w:type="gram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izvietojums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uz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zemesgabala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</w:p>
        </w:tc>
        <w:tc>
          <w:tcPr>
            <w:tcW w:w="1374" w:type="dxa"/>
            <w:vAlign w:val="center"/>
          </w:tcPr>
          <w:p w14:paraId="48F6ADAE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3A71CE4B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75858081" w14:textId="77777777" w:rsidTr="00BD738E">
        <w:trPr>
          <w:cantSplit/>
        </w:trPr>
        <w:tc>
          <w:tcPr>
            <w:tcW w:w="595" w:type="dxa"/>
            <w:vAlign w:val="center"/>
          </w:tcPr>
          <w:p w14:paraId="1F55260E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7.</w:t>
            </w:r>
          </w:p>
        </w:tc>
        <w:tc>
          <w:tcPr>
            <w:tcW w:w="6237" w:type="dxa"/>
            <w:vAlign w:val="center"/>
          </w:tcPr>
          <w:p w14:paraId="20A1B829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hAnsi="Cambria" w:cs="Arial"/>
                <w:sz w:val="19"/>
                <w:szCs w:val="19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Pievienota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vizualizācija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kurā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uzskatāmi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attēlots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un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izprotams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īstenošanas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rezultāts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</w:p>
        </w:tc>
        <w:tc>
          <w:tcPr>
            <w:tcW w:w="1374" w:type="dxa"/>
            <w:vAlign w:val="center"/>
          </w:tcPr>
          <w:p w14:paraId="7722C4E6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0BE89AC0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1815AB8A" w14:textId="77777777" w:rsidTr="00BD738E">
        <w:trPr>
          <w:cantSplit/>
        </w:trPr>
        <w:tc>
          <w:tcPr>
            <w:tcW w:w="595" w:type="dxa"/>
            <w:vAlign w:val="center"/>
          </w:tcPr>
          <w:p w14:paraId="1D9FBD04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8.</w:t>
            </w:r>
          </w:p>
        </w:tc>
        <w:tc>
          <w:tcPr>
            <w:tcW w:w="6237" w:type="dxa"/>
            <w:vAlign w:val="center"/>
          </w:tcPr>
          <w:p w14:paraId="14230884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ir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saistīts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ar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jaunas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infrastruktūras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radīšanu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vai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jau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esošas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infrastruktūras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uzlabošanu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arī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idejas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rezultāts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ilglaicīgi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(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vismaz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10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gadus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)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būs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plaši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pieejams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iedzīvotājiem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pēc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īstenošanas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.</w:t>
            </w:r>
          </w:p>
        </w:tc>
        <w:tc>
          <w:tcPr>
            <w:tcW w:w="1374" w:type="dxa"/>
            <w:vAlign w:val="center"/>
          </w:tcPr>
          <w:p w14:paraId="1F0A5D10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6BA0EFA0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0344DCF8" w14:textId="77777777" w:rsidTr="00BD738E">
        <w:trPr>
          <w:cantSplit/>
        </w:trPr>
        <w:tc>
          <w:tcPr>
            <w:tcW w:w="595" w:type="dxa"/>
            <w:vAlign w:val="center"/>
          </w:tcPr>
          <w:p w14:paraId="12627B84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9.</w:t>
            </w:r>
          </w:p>
        </w:tc>
        <w:tc>
          <w:tcPr>
            <w:tcW w:w="6237" w:type="dxa"/>
            <w:vAlign w:val="center"/>
          </w:tcPr>
          <w:p w14:paraId="67293B23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pieteikuma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aprakstā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uzskaitītas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veicamās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aktivitātes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kā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arī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atspoguļota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sabiedriskā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nozīme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nepieciešamība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un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ieguvums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vietējai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kopienai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</w:p>
        </w:tc>
        <w:tc>
          <w:tcPr>
            <w:tcW w:w="1374" w:type="dxa"/>
            <w:vAlign w:val="center"/>
          </w:tcPr>
          <w:p w14:paraId="33CE92CB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16E250DD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068F6BA4" w14:textId="77777777" w:rsidTr="00BD738E">
        <w:trPr>
          <w:cantSplit/>
        </w:trPr>
        <w:tc>
          <w:tcPr>
            <w:tcW w:w="595" w:type="dxa"/>
            <w:vAlign w:val="center"/>
          </w:tcPr>
          <w:p w14:paraId="03DDCFCB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10.</w:t>
            </w:r>
          </w:p>
        </w:tc>
        <w:tc>
          <w:tcPr>
            <w:tcW w:w="6237" w:type="dxa"/>
            <w:vAlign w:val="center"/>
          </w:tcPr>
          <w:p w14:paraId="6F794CFA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ideja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nav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pretrunā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ar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Pašvaldības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attīstības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plāniem</w:t>
            </w:r>
            <w:proofErr w:type="spellEnd"/>
            <w:r w:rsidRPr="00461B7B">
              <w:rPr>
                <w:rStyle w:val="Vresatsauce"/>
                <w:rFonts w:ascii="Cambria" w:hAnsi="Cambria" w:cs="Arial"/>
                <w:sz w:val="19"/>
                <w:szCs w:val="19"/>
              </w:rPr>
              <w:footnoteReference w:id="3"/>
            </w:r>
            <w:r w:rsidRPr="00461B7B">
              <w:rPr>
                <w:rFonts w:ascii="Cambria" w:hAnsi="Cambria" w:cs="Arial"/>
                <w:sz w:val="19"/>
                <w:szCs w:val="19"/>
              </w:rPr>
              <w:t xml:space="preserve"> un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nepārklājas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ar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Pašvaldībā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plānotām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vai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jau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īstenošanā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esošām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aktivitātēm</w:t>
            </w:r>
            <w:proofErr w:type="spellEnd"/>
            <w:r w:rsidRPr="00461B7B">
              <w:rPr>
                <w:rStyle w:val="Vresatsauce"/>
                <w:rFonts w:ascii="Cambria" w:hAnsi="Cambria" w:cs="Arial"/>
                <w:sz w:val="19"/>
                <w:szCs w:val="19"/>
              </w:rPr>
              <w:footnoteReference w:id="4"/>
            </w:r>
            <w:r w:rsidRPr="00461B7B">
              <w:rPr>
                <w:rFonts w:ascii="Cambria" w:hAnsi="Cambria" w:cs="Arial"/>
                <w:sz w:val="19"/>
                <w:szCs w:val="19"/>
              </w:rPr>
              <w:t xml:space="preserve">, kas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finansētas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no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citiem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Pašvaldības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valsts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Eiropas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Savienības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vai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citiem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ārējiem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finanšu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avotiem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</w:p>
        </w:tc>
        <w:tc>
          <w:tcPr>
            <w:tcW w:w="1374" w:type="dxa"/>
            <w:vAlign w:val="center"/>
          </w:tcPr>
          <w:p w14:paraId="1B8B066E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3F8258A4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51791E4C" w14:textId="77777777" w:rsidTr="00BD738E">
        <w:trPr>
          <w:cantSplit/>
        </w:trPr>
        <w:tc>
          <w:tcPr>
            <w:tcW w:w="595" w:type="dxa"/>
            <w:vAlign w:val="center"/>
          </w:tcPr>
          <w:p w14:paraId="472120CF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11.</w:t>
            </w:r>
          </w:p>
        </w:tc>
        <w:tc>
          <w:tcPr>
            <w:tcW w:w="6237" w:type="dxa"/>
            <w:vAlign w:val="center"/>
          </w:tcPr>
          <w:p w14:paraId="5CF481CF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ir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īstenojams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vienā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kārtā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nodrošinot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pilnvērtīgu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un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lietojamu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gala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rezultātu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bez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nepieciešamības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pēc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turpmākām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ieviešanas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fāzēm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</w:p>
        </w:tc>
        <w:tc>
          <w:tcPr>
            <w:tcW w:w="1374" w:type="dxa"/>
            <w:vAlign w:val="center"/>
          </w:tcPr>
          <w:p w14:paraId="2B24CF85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3E39FBAE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14E6503C" w14:textId="77777777" w:rsidTr="00BD738E">
        <w:trPr>
          <w:cantSplit/>
        </w:trPr>
        <w:tc>
          <w:tcPr>
            <w:tcW w:w="595" w:type="dxa"/>
            <w:vAlign w:val="center"/>
          </w:tcPr>
          <w:p w14:paraId="2E8C2C84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lastRenderedPageBreak/>
              <w:t>12.</w:t>
            </w:r>
          </w:p>
        </w:tc>
        <w:tc>
          <w:tcPr>
            <w:tcW w:w="6237" w:type="dxa"/>
            <w:vAlign w:val="center"/>
          </w:tcPr>
          <w:p w14:paraId="529494CD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hAnsi="Cambria" w:cs="Arial"/>
                <w:i/>
                <w:iCs/>
                <w:sz w:val="19"/>
                <w:szCs w:val="19"/>
              </w:rPr>
            </w:pP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var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īstenot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pilnā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apjomā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vai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nepilnā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apjomā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samazinot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aktivitātes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ar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nosacījumu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, ka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joprojām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tiek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sasniegts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projekta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sz w:val="19"/>
                <w:szCs w:val="19"/>
              </w:rPr>
              <w:t>mērķis</w:t>
            </w:r>
            <w:proofErr w:type="spellEnd"/>
            <w:r w:rsidRPr="00461B7B">
              <w:rPr>
                <w:rFonts w:ascii="Cambria" w:hAnsi="Cambria" w:cs="Arial"/>
                <w:sz w:val="19"/>
                <w:szCs w:val="19"/>
              </w:rPr>
              <w:t>.</w:t>
            </w:r>
            <w:r w:rsidRPr="00461B7B">
              <w:rPr>
                <w:rFonts w:ascii="Cambria" w:hAnsi="Cambria" w:cs="Arial"/>
                <w:sz w:val="19"/>
                <w:szCs w:val="19"/>
              </w:rPr>
              <w:br/>
            </w:r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(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Iemesls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tam var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būt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neprecīza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tāme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nepietiekams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finansējums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teritorijas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plānojuma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apgrūtinājumi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,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kam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nepieciešama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lokācijas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maiņa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u.c.</w:t>
            </w:r>
            <w:proofErr w:type="spellEnd"/>
            <w:r w:rsidRPr="00461B7B">
              <w:rPr>
                <w:rFonts w:ascii="Cambria" w:hAnsi="Cambria" w:cs="Arial"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1374" w:type="dxa"/>
            <w:vAlign w:val="center"/>
          </w:tcPr>
          <w:p w14:paraId="291D55F0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6576AD61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47AC915A" w14:textId="77777777" w:rsidTr="00BD738E">
        <w:trPr>
          <w:cantSplit/>
        </w:trPr>
        <w:tc>
          <w:tcPr>
            <w:tcW w:w="595" w:type="dxa"/>
            <w:vAlign w:val="center"/>
          </w:tcPr>
          <w:p w14:paraId="62A0DA26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13.</w:t>
            </w:r>
          </w:p>
        </w:tc>
        <w:tc>
          <w:tcPr>
            <w:tcW w:w="6237" w:type="dxa"/>
            <w:vAlign w:val="center"/>
          </w:tcPr>
          <w:p w14:paraId="4FDDC12A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hAnsi="Cambria" w:cs="Arial"/>
                <w:sz w:val="19"/>
                <w:szCs w:val="19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ir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iespējams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īstenot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2 (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divu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)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gadu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laikā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no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tā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īstenošanas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uzsākšanas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.</w:t>
            </w:r>
          </w:p>
        </w:tc>
        <w:tc>
          <w:tcPr>
            <w:tcW w:w="1374" w:type="dxa"/>
            <w:vAlign w:val="center"/>
          </w:tcPr>
          <w:p w14:paraId="09484E8A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35F9B549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22ED71B2" w14:textId="77777777" w:rsidTr="00BD738E">
        <w:trPr>
          <w:cantSplit/>
        </w:trPr>
        <w:tc>
          <w:tcPr>
            <w:tcW w:w="595" w:type="dxa"/>
            <w:vAlign w:val="center"/>
          </w:tcPr>
          <w:p w14:paraId="42510FBF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14.</w:t>
            </w:r>
          </w:p>
        </w:tc>
        <w:tc>
          <w:tcPr>
            <w:tcW w:w="6237" w:type="dxa"/>
            <w:vAlign w:val="center"/>
          </w:tcPr>
          <w:p w14:paraId="3AD5FB5D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idejas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rezultātu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neplāno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izmantot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komercdarbībai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un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peļņas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gūšanai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, tam nav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reliģisks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vai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politisks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raksturs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.</w:t>
            </w:r>
          </w:p>
        </w:tc>
        <w:tc>
          <w:tcPr>
            <w:tcW w:w="1374" w:type="dxa"/>
            <w:vAlign w:val="center"/>
          </w:tcPr>
          <w:p w14:paraId="3E18E49E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5C076653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  <w:tr w:rsidR="00492025" w:rsidRPr="00461B7B" w14:paraId="4D5C9810" w14:textId="77777777" w:rsidTr="00BD738E">
        <w:trPr>
          <w:cantSplit/>
        </w:trPr>
        <w:tc>
          <w:tcPr>
            <w:tcW w:w="595" w:type="dxa"/>
            <w:vAlign w:val="center"/>
          </w:tcPr>
          <w:p w14:paraId="0A2F7097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15.</w:t>
            </w:r>
          </w:p>
        </w:tc>
        <w:tc>
          <w:tcPr>
            <w:tcW w:w="6237" w:type="dxa"/>
            <w:vAlign w:val="center"/>
          </w:tcPr>
          <w:p w14:paraId="58FF09CD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</w:pP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paredzētie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ieguldījumi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ir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ekonomiski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pamatoti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un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tā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rezultāta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ikgadējās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uzturēšanas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izmaksas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nepārsniedz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10 %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gadā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no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kopējā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attiecīgā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budžeta</w:t>
            </w:r>
            <w:proofErr w:type="spellEnd"/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t>.</w:t>
            </w:r>
            <w:r w:rsidRPr="00461B7B"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  <w:br/>
            </w:r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(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Ierobežojums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neattiecas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uz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projektiem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, kas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tiek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īstenoti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privātīpašnieka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īpašumā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, jo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saskaņā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ar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Nolikuma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10.2.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punktu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par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Projekta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rezultāta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turpmāku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uzturēšanu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atbild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 xml:space="preserve"> </w:t>
            </w:r>
            <w:proofErr w:type="spellStart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privātīpašnieks</w:t>
            </w:r>
            <w:proofErr w:type="spellEnd"/>
            <w:r w:rsidRPr="00461B7B">
              <w:rPr>
                <w:rFonts w:ascii="Cambria" w:eastAsia="Times New Roman" w:hAnsi="Cambria" w:cs="Arial"/>
                <w:i/>
                <w:iCs/>
                <w:sz w:val="19"/>
                <w:szCs w:val="19"/>
                <w:lang w:eastAsia="lv-LV" w:bidi="lv-LV"/>
              </w:rPr>
              <w:t>.)</w:t>
            </w:r>
          </w:p>
        </w:tc>
        <w:tc>
          <w:tcPr>
            <w:tcW w:w="1374" w:type="dxa"/>
            <w:vAlign w:val="center"/>
          </w:tcPr>
          <w:p w14:paraId="4B27D91C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  <w:tc>
          <w:tcPr>
            <w:tcW w:w="1375" w:type="dxa"/>
            <w:vAlign w:val="center"/>
          </w:tcPr>
          <w:p w14:paraId="52C0E6A1" w14:textId="77777777" w:rsidR="00492025" w:rsidRPr="00461B7B" w:rsidRDefault="00492025" w:rsidP="00BD738E">
            <w:pPr>
              <w:widowControl w:val="0"/>
              <w:tabs>
                <w:tab w:val="left" w:pos="4242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9"/>
                <w:szCs w:val="19"/>
                <w:lang w:eastAsia="lv-LV" w:bidi="lv-LV"/>
              </w:rPr>
            </w:pPr>
          </w:p>
        </w:tc>
      </w:tr>
    </w:tbl>
    <w:p w14:paraId="74427507" w14:textId="77777777" w:rsidR="00492025" w:rsidRPr="00363B7F" w:rsidRDefault="00492025" w:rsidP="00492025">
      <w:pPr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p w14:paraId="0EC2B2E6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F061" w14:textId="77777777" w:rsidR="00435F42" w:rsidRDefault="00435F42" w:rsidP="00492025">
      <w:pPr>
        <w:spacing w:after="0" w:line="240" w:lineRule="auto"/>
      </w:pPr>
      <w:r>
        <w:separator/>
      </w:r>
    </w:p>
  </w:endnote>
  <w:endnote w:type="continuationSeparator" w:id="0">
    <w:p w14:paraId="50DAED63" w14:textId="77777777" w:rsidR="00435F42" w:rsidRDefault="00435F42" w:rsidP="0049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A678" w14:textId="77777777" w:rsidR="00435F42" w:rsidRDefault="00435F42" w:rsidP="00492025">
      <w:pPr>
        <w:spacing w:after="0" w:line="240" w:lineRule="auto"/>
      </w:pPr>
      <w:r>
        <w:separator/>
      </w:r>
    </w:p>
  </w:footnote>
  <w:footnote w:type="continuationSeparator" w:id="0">
    <w:p w14:paraId="7DE57693" w14:textId="77777777" w:rsidR="00435F42" w:rsidRDefault="00435F42" w:rsidP="00492025">
      <w:pPr>
        <w:spacing w:after="0" w:line="240" w:lineRule="auto"/>
      </w:pPr>
      <w:r>
        <w:continuationSeparator/>
      </w:r>
    </w:p>
  </w:footnote>
  <w:footnote w:id="1">
    <w:p w14:paraId="349077DE" w14:textId="77777777" w:rsidR="00492025" w:rsidRPr="00363B7F" w:rsidRDefault="00492025" w:rsidP="00492025">
      <w:pPr>
        <w:pStyle w:val="Vresteksts"/>
        <w:rPr>
          <w:rFonts w:ascii="Cambria" w:hAnsi="Cambria" w:cs="Arial"/>
          <w:i/>
          <w:sz w:val="17"/>
          <w:szCs w:val="17"/>
        </w:rPr>
      </w:pPr>
      <w:r w:rsidRPr="00363B7F">
        <w:rPr>
          <w:rStyle w:val="Vresatsauce"/>
          <w:rFonts w:ascii="Cambria" w:hAnsi="Cambria"/>
          <w:sz w:val="17"/>
          <w:szCs w:val="17"/>
        </w:rPr>
        <w:footnoteRef/>
      </w:r>
      <w:r w:rsidRPr="00363B7F">
        <w:rPr>
          <w:rFonts w:ascii="Cambria" w:hAnsi="Cambria"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sz w:val="17"/>
          <w:szCs w:val="17"/>
        </w:rPr>
        <w:t>Vērtējot veic atzīmi par atbilstību kritērijam attiecīgajā kolonnā.</w:t>
      </w:r>
    </w:p>
  </w:footnote>
  <w:footnote w:id="2">
    <w:p w14:paraId="25534FE6" w14:textId="77777777" w:rsidR="00492025" w:rsidRPr="00363B7F" w:rsidRDefault="00492025" w:rsidP="00492025">
      <w:pPr>
        <w:pStyle w:val="Vresteksts"/>
        <w:rPr>
          <w:rFonts w:ascii="Cambria" w:hAnsi="Cambria"/>
          <w:i/>
          <w:sz w:val="17"/>
          <w:szCs w:val="17"/>
        </w:rPr>
      </w:pPr>
      <w:r w:rsidRPr="00363B7F">
        <w:rPr>
          <w:rStyle w:val="Vresatsauce"/>
          <w:rFonts w:ascii="Cambria" w:hAnsi="Cambria"/>
          <w:sz w:val="17"/>
          <w:szCs w:val="17"/>
        </w:rPr>
        <w:footnoteRef/>
      </w:r>
      <w:r w:rsidRPr="00363B7F">
        <w:rPr>
          <w:rFonts w:ascii="Cambria" w:hAnsi="Cambria"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sz w:val="17"/>
          <w:szCs w:val="17"/>
        </w:rPr>
        <w:t>Vērtējot veic atzīmi par neatbilstību kritērijam attiecīgajā kolonnā.</w:t>
      </w:r>
    </w:p>
  </w:footnote>
  <w:footnote w:id="3">
    <w:p w14:paraId="082CF2A4" w14:textId="77777777" w:rsidR="00492025" w:rsidRPr="00363B7F" w:rsidRDefault="00492025" w:rsidP="00492025">
      <w:pPr>
        <w:pStyle w:val="Vresteksts"/>
        <w:rPr>
          <w:rFonts w:ascii="Cambria" w:hAnsi="Cambria" w:cs="Arial"/>
          <w:i/>
          <w:iCs/>
          <w:sz w:val="17"/>
          <w:szCs w:val="17"/>
        </w:rPr>
      </w:pPr>
      <w:r w:rsidRPr="00363B7F">
        <w:rPr>
          <w:rStyle w:val="Vresatsauce"/>
          <w:rFonts w:ascii="Cambria" w:hAnsi="Cambria" w:cs="Arial"/>
          <w:iCs/>
          <w:sz w:val="17"/>
          <w:szCs w:val="17"/>
        </w:rPr>
        <w:footnoteRef/>
      </w:r>
      <w:r w:rsidRPr="00363B7F">
        <w:rPr>
          <w:rFonts w:ascii="Cambria" w:hAnsi="Cambria" w:cs="Arial"/>
          <w:iCs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iCs/>
          <w:sz w:val="17"/>
          <w:szCs w:val="17"/>
        </w:rPr>
        <w:t xml:space="preserve">https://www.dkn.lv/lv/attistibas-planosanas-dokumenti un https://geolatvija.lv/geo/tapis </w:t>
      </w:r>
    </w:p>
  </w:footnote>
  <w:footnote w:id="4">
    <w:p w14:paraId="3F652704" w14:textId="77777777" w:rsidR="00492025" w:rsidRPr="00363B7F" w:rsidRDefault="00492025" w:rsidP="00492025">
      <w:pPr>
        <w:pStyle w:val="Vresteksts"/>
        <w:rPr>
          <w:rFonts w:ascii="Cambria" w:hAnsi="Cambria" w:cs="Arial"/>
          <w:i/>
          <w:iCs/>
          <w:sz w:val="17"/>
          <w:szCs w:val="17"/>
        </w:rPr>
      </w:pPr>
      <w:r w:rsidRPr="00363B7F">
        <w:rPr>
          <w:rStyle w:val="Vresatsauce"/>
          <w:rFonts w:ascii="Cambria" w:hAnsi="Cambria" w:cs="Arial"/>
          <w:iCs/>
          <w:sz w:val="17"/>
          <w:szCs w:val="17"/>
        </w:rPr>
        <w:footnoteRef/>
      </w:r>
      <w:r w:rsidRPr="00363B7F">
        <w:rPr>
          <w:rFonts w:ascii="Cambria" w:hAnsi="Cambria" w:cs="Arial"/>
          <w:iCs/>
          <w:sz w:val="17"/>
          <w:szCs w:val="17"/>
        </w:rPr>
        <w:t xml:space="preserve"> </w:t>
      </w:r>
      <w:r w:rsidRPr="00363B7F">
        <w:rPr>
          <w:rFonts w:ascii="Cambria" w:hAnsi="Cambria" w:cs="Arial"/>
          <w:i/>
          <w:iCs/>
          <w:sz w:val="17"/>
          <w:szCs w:val="17"/>
        </w:rPr>
        <w:t xml:space="preserve">T.sk. </w:t>
      </w:r>
      <w:proofErr w:type="spellStart"/>
      <w:r w:rsidRPr="00363B7F">
        <w:rPr>
          <w:rFonts w:ascii="Cambria" w:hAnsi="Cambria" w:cs="Arial"/>
          <w:i/>
          <w:iCs/>
          <w:sz w:val="17"/>
          <w:szCs w:val="17"/>
        </w:rPr>
        <w:t>Dienvidkurzemes</w:t>
      </w:r>
      <w:proofErr w:type="spellEnd"/>
      <w:r w:rsidRPr="00363B7F">
        <w:rPr>
          <w:rFonts w:ascii="Cambria" w:hAnsi="Cambria" w:cs="Arial"/>
          <w:i/>
          <w:iCs/>
          <w:sz w:val="17"/>
          <w:szCs w:val="17"/>
        </w:rPr>
        <w:t xml:space="preserve"> novada pašvaldībā īstenošanā esošie aktuālie projekti – https://www.dkn.lv/lv/projekti?project_categories%5B1353%5D=1353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25"/>
    <w:rsid w:val="00435F42"/>
    <w:rsid w:val="00492025"/>
    <w:rsid w:val="009702DE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D7C2"/>
  <w15:chartTrackingRefBased/>
  <w15:docId w15:val="{6E4E6E1D-064E-4AA3-A087-D1CB7038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202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920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920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920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920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20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920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920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920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920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92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92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92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9202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9202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920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920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920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920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92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9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920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92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920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92025"/>
    <w:rPr>
      <w:i/>
      <w:iCs/>
      <w:color w:val="404040" w:themeColor="text1" w:themeTint="BF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4920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9202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92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9202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92025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34"/>
    <w:qFormat/>
    <w:locked/>
    <w:rsid w:val="00492025"/>
  </w:style>
  <w:style w:type="table" w:styleId="Reatabula">
    <w:name w:val="Table Grid"/>
    <w:basedOn w:val="Parastatabula"/>
    <w:uiPriority w:val="39"/>
    <w:rsid w:val="00492025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49202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92025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492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1993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2026-05-13T06:03:00Z</dcterms:created>
  <dcterms:modified xsi:type="dcterms:W3CDTF">2026-05-13T06:04:00Z</dcterms:modified>
</cp:coreProperties>
</file>