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F395" w14:textId="77777777" w:rsidR="00C55BE0" w:rsidRPr="00647EE6" w:rsidRDefault="00C55BE0" w:rsidP="00C55BE0">
      <w:pPr>
        <w:spacing w:before="130" w:after="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 xml:space="preserve">2026. gada 9. </w:t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jūnija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 xml:space="preserve"> Nr. 329</w:t>
      </w:r>
    </w:p>
    <w:p w14:paraId="099F9364" w14:textId="77777777" w:rsidR="00C55BE0" w:rsidRPr="00647EE6" w:rsidRDefault="00C55BE0" w:rsidP="00C55BE0">
      <w:pPr>
        <w:spacing w:before="130" w:after="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 xml:space="preserve">"1. </w:t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 xml:space="preserve">2023. gada 7. </w:t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marta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 xml:space="preserve"> Nr. 113</w:t>
      </w:r>
    </w:p>
    <w:p w14:paraId="49E62B55" w14:textId="77777777" w:rsidR="00C55BE0" w:rsidRPr="00647EE6" w:rsidRDefault="00C55BE0" w:rsidP="00C55BE0">
      <w:pPr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24"/>
          <w:lang w:val="en-GB" w:eastAsia="en-GB"/>
        </w:rPr>
      </w:pPr>
      <w:proofErr w:type="spellStart"/>
      <w:r w:rsidRPr="00647EE6">
        <w:rPr>
          <w:rFonts w:ascii="Cambria" w:eastAsia="Times New Roman" w:hAnsi="Cambria"/>
          <w:b/>
          <w:bCs/>
          <w:szCs w:val="24"/>
          <w:lang w:val="en-GB" w:eastAsia="en-GB"/>
        </w:rPr>
        <w:t>Atbalsta</w:t>
      </w:r>
      <w:proofErr w:type="spellEnd"/>
      <w:r w:rsidRPr="00647EE6">
        <w:rPr>
          <w:rFonts w:ascii="Cambria" w:eastAsia="Times New Roman" w:hAnsi="Cambria"/>
          <w:b/>
          <w:bCs/>
          <w:szCs w:val="24"/>
          <w:lang w:val="en-GB" w:eastAsia="en-GB"/>
        </w:rPr>
        <w:t xml:space="preserve"> </w:t>
      </w:r>
      <w:proofErr w:type="spellStart"/>
      <w:r w:rsidRPr="00647EE6">
        <w:rPr>
          <w:rFonts w:ascii="Cambria" w:eastAsia="Times New Roman" w:hAnsi="Cambria"/>
          <w:b/>
          <w:bCs/>
          <w:szCs w:val="24"/>
          <w:lang w:val="en-GB" w:eastAsia="en-GB"/>
        </w:rPr>
        <w:t>pretendenta</w:t>
      </w:r>
      <w:proofErr w:type="spellEnd"/>
      <w:r w:rsidRPr="00647EE6">
        <w:rPr>
          <w:rFonts w:ascii="Cambria" w:eastAsia="Times New Roman" w:hAnsi="Cambria"/>
          <w:b/>
          <w:bCs/>
          <w:szCs w:val="24"/>
          <w:lang w:val="en-GB" w:eastAsia="en-GB"/>
        </w:rPr>
        <w:t xml:space="preserve"> </w:t>
      </w:r>
      <w:proofErr w:type="spellStart"/>
      <w:r w:rsidRPr="00647EE6">
        <w:rPr>
          <w:rFonts w:ascii="Cambria" w:eastAsia="Times New Roman" w:hAnsi="Cambria"/>
          <w:b/>
          <w:bCs/>
          <w:szCs w:val="24"/>
          <w:lang w:val="en-GB" w:eastAsia="en-GB"/>
        </w:rPr>
        <w:t>deklarācija</w:t>
      </w:r>
      <w:proofErr w:type="spellEnd"/>
    </w:p>
    <w:p w14:paraId="1E194B13" w14:textId="77777777" w:rsidR="00C55BE0" w:rsidRDefault="00C55BE0" w:rsidP="00C55BE0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val="en-GB" w:eastAsia="en-GB"/>
        </w:rPr>
      </w:pPr>
    </w:p>
    <w:p w14:paraId="4B61E0A8" w14:textId="77777777" w:rsidR="00C55BE0" w:rsidRPr="00647EE6" w:rsidRDefault="00C55BE0" w:rsidP="00C55BE0">
      <w:pPr>
        <w:spacing w:before="130" w:after="12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val="en-GB" w:eastAsia="en-GB"/>
        </w:rPr>
      </w:pP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Ar</w:t>
      </w:r>
      <w:proofErr w:type="spellEnd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parakstu</w:t>
      </w:r>
      <w:proofErr w:type="spellEnd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apliecinu</w:t>
      </w:r>
      <w:proofErr w:type="spellEnd"/>
      <w:r w:rsidRPr="00647EE6">
        <w:rPr>
          <w:rFonts w:ascii="Cambria" w:eastAsia="Times New Roman" w:hAnsi="Cambria"/>
          <w:sz w:val="19"/>
          <w:szCs w:val="24"/>
          <w:lang w:val="en-GB" w:eastAsia="en-GB"/>
        </w:rPr>
        <w:t>, 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3"/>
        <w:gridCol w:w="8782"/>
      </w:tblGrid>
      <w:tr w:rsidR="00C55BE0" w:rsidRPr="00A3249C" w14:paraId="0B95F615" w14:textId="77777777" w:rsidTr="00115D82">
        <w:tc>
          <w:tcPr>
            <w:tcW w:w="1080" w:type="dxa"/>
            <w:vAlign w:val="center"/>
            <w:hideMark/>
          </w:tcPr>
          <w:p w14:paraId="04F4752F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1)</w:t>
            </w:r>
          </w:p>
        </w:tc>
        <w:tc>
          <w:tcPr>
            <w:tcW w:w="13785" w:type="dxa"/>
            <w:vAlign w:val="center"/>
            <w:hideMark/>
          </w:tcPr>
          <w:p w14:paraId="314051FC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veidlapā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dokumentos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sniegtā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patiesa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7E08E095" w14:textId="77777777" w:rsidTr="00115D82">
        <w:tc>
          <w:tcPr>
            <w:tcW w:w="1080" w:type="dxa"/>
            <w:vAlign w:val="center"/>
            <w:hideMark/>
          </w:tcPr>
          <w:p w14:paraId="130E4CB0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2)</w:t>
            </w:r>
          </w:p>
        </w:tc>
        <w:tc>
          <w:tcPr>
            <w:tcW w:w="13785" w:type="dxa"/>
            <w:vAlign w:val="center"/>
            <w:hideMark/>
          </w:tcPr>
          <w:p w14:paraId="26A0B33D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šā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finansēšanai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saņēmis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Latvijas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Republikas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fondu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finansējumu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veida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līdzekļus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3462120F" w14:textId="77777777" w:rsidTr="00115D82">
        <w:tc>
          <w:tcPr>
            <w:tcW w:w="1080" w:type="dxa"/>
            <w:vAlign w:val="center"/>
            <w:hideMark/>
          </w:tcPr>
          <w:p w14:paraId="359CA186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3)</w:t>
            </w:r>
          </w:p>
        </w:tc>
        <w:tc>
          <w:tcPr>
            <w:tcW w:w="13785" w:type="dxa"/>
            <w:vAlign w:val="center"/>
            <w:hideMark/>
          </w:tcPr>
          <w:p w14:paraId="54ED7303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konkrēto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iesniedzis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saņemšanai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fondiem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programmām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3E5FBA2E" w14:textId="77777777" w:rsidTr="00115D82">
        <w:tc>
          <w:tcPr>
            <w:tcW w:w="1080" w:type="dxa"/>
            <w:vAlign w:val="center"/>
            <w:hideMark/>
          </w:tcPr>
          <w:p w14:paraId="315B865E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4)</w:t>
            </w:r>
          </w:p>
        </w:tc>
        <w:tc>
          <w:tcPr>
            <w:tcW w:w="13785" w:type="dxa"/>
            <w:vAlign w:val="center"/>
            <w:hideMark/>
          </w:tcPr>
          <w:p w14:paraId="1F3E917A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īstenojis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būvdarbus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 kas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normatīvajiem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jāīsteno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trešajai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personai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atbildīga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to,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šo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būvdarbu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nekādā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veidā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nedz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tieši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nedz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netieši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nedz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apakšuzņēmējs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iesaistījies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ne pats, ne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mani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saistīta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persona, ne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persona, kas 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būvdarbu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veicēju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izvēlēta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pastāvot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tādas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aizliegtas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horizontālas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vertikālas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vienošanās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pazīmēm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bez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attiecīgais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būvdarbu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veicējs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ievērojot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ietvertos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apsvērumus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prasības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piedāvājumu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izvēli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netiktu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izvēlēts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Apzinos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tāds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apliecinājums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šo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apstākli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pretrunā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faktiskajiem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apstākļiem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maldinošs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var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būt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publiskā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pieprasījuma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noraidījumam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priekšlaikus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saņemtā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atprasīšanai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773796B3" w14:textId="77777777" w:rsidTr="00115D82">
        <w:tc>
          <w:tcPr>
            <w:tcW w:w="1080" w:type="dxa"/>
            <w:vAlign w:val="center"/>
            <w:hideMark/>
          </w:tcPr>
          <w:p w14:paraId="79764DC6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5)</w:t>
            </w:r>
          </w:p>
        </w:tc>
        <w:tc>
          <w:tcPr>
            <w:tcW w:w="13785" w:type="dxa"/>
            <w:vAlign w:val="center"/>
            <w:hideMark/>
          </w:tcPr>
          <w:p w14:paraId="4A92A7AE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privātā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daļai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saņēmis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publisko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fondu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finansējumu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visa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publisko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fondu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daļa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tāda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)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norādīta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atskaitīta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publiskā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summas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246A2144" w14:textId="77777777" w:rsidTr="00115D82">
        <w:tc>
          <w:tcPr>
            <w:tcW w:w="1080" w:type="dxa"/>
            <w:vAlign w:val="center"/>
            <w:hideMark/>
          </w:tcPr>
          <w:p w14:paraId="2A9D3EB9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6)</w:t>
            </w:r>
          </w:p>
        </w:tc>
        <w:tc>
          <w:tcPr>
            <w:tcW w:w="13785" w:type="dxa"/>
            <w:vAlign w:val="center"/>
            <w:hideMark/>
          </w:tcPr>
          <w:p w14:paraId="6D7C160C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apņemos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glabāt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uzrādīt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dienesta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–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saņemts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regulu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2021/1139 –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revīzijas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amatpersonām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visu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uzraudzību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saistīto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dokumentāciju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  <w:p w14:paraId="4C66B834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a) 2035. gada 31.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decembrim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pieteicies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ko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normatīvajiem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Jūrlietu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zvejniecības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akvakultūras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fonda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</w:t>
            </w:r>
          </w:p>
          <w:p w14:paraId="1BB587D2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b) 2037. gada 31.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decembrim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pieteicies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ko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normatīvajiem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attīstībai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</w:t>
            </w:r>
          </w:p>
          <w:p w14:paraId="1E285078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c) 10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gadiem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kopš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dienas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atbilstoši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nosacījumiem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regulējumu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</w:t>
            </w:r>
          </w:p>
          <w:p w14:paraId="0BA3C285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piekrītu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dienesta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pārstāvju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pārstāvju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nepieciešamajām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kontrolēm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pirms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apstiprināšanas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piecus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gadus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pēc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pēdējā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maksājuma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saņemšanas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4F0A3D5E" w14:textId="77777777" w:rsidTr="00115D82">
        <w:tc>
          <w:tcPr>
            <w:tcW w:w="1080" w:type="dxa"/>
            <w:vAlign w:val="center"/>
            <w:hideMark/>
          </w:tcPr>
          <w:p w14:paraId="168AE2FB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7)</w:t>
            </w:r>
          </w:p>
        </w:tc>
        <w:tc>
          <w:tcPr>
            <w:tcW w:w="13785" w:type="dxa"/>
            <w:vAlign w:val="center"/>
            <w:hideMark/>
          </w:tcPr>
          <w:p w14:paraId="69327047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tiks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paredzētajā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3E267A58" w14:textId="77777777" w:rsidTr="00115D82">
        <w:tc>
          <w:tcPr>
            <w:tcW w:w="1080" w:type="dxa"/>
            <w:vAlign w:val="center"/>
            <w:hideMark/>
          </w:tcPr>
          <w:p w14:paraId="56E1165D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8)</w:t>
            </w:r>
          </w:p>
        </w:tc>
        <w:tc>
          <w:tcPr>
            <w:tcW w:w="13785" w:type="dxa"/>
            <w:vAlign w:val="center"/>
            <w:hideMark/>
          </w:tcPr>
          <w:p w14:paraId="1423D81D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paredzēts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uzraudzības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periods,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attiecīgi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trīs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piecus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gadus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sākot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pirmā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noslēgtā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gada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pēc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pēdējā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maksājuma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pieprasījuma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dienestā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nesaņēmis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dienesta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rakstveida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piekrišanu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neīstenošu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nekādas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kas var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būtiski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mainīt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nosacījumus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mērķus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līdzfinansētās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investīcijas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6D14BD80" w14:textId="77777777" w:rsidTr="00115D82">
        <w:tc>
          <w:tcPr>
            <w:tcW w:w="1080" w:type="dxa"/>
            <w:vAlign w:val="center"/>
            <w:hideMark/>
          </w:tcPr>
          <w:p w14:paraId="65306971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9)</w:t>
            </w:r>
          </w:p>
        </w:tc>
        <w:tc>
          <w:tcPr>
            <w:tcW w:w="13785" w:type="dxa"/>
            <w:vAlign w:val="center"/>
            <w:hideMark/>
          </w:tcPr>
          <w:p w14:paraId="0D4A0E56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neko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nemainīšu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to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iepriekš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nesaskaņojot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dienestu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7CF8485A" w14:textId="77777777" w:rsidTr="00115D82">
        <w:tc>
          <w:tcPr>
            <w:tcW w:w="1080" w:type="dxa"/>
            <w:vAlign w:val="center"/>
            <w:hideMark/>
          </w:tcPr>
          <w:p w14:paraId="4FB6C38C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10)</w:t>
            </w:r>
          </w:p>
        </w:tc>
        <w:tc>
          <w:tcPr>
            <w:tcW w:w="13785" w:type="dxa"/>
            <w:vAlign w:val="center"/>
            <w:hideMark/>
          </w:tcPr>
          <w:p w14:paraId="3178A901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iepirkumā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ievērošu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iepirkuma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procedūras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piemērošanu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3A32176C" w14:textId="77777777" w:rsidTr="00115D82">
        <w:tc>
          <w:tcPr>
            <w:tcW w:w="1080" w:type="dxa"/>
            <w:vAlign w:val="center"/>
            <w:hideMark/>
          </w:tcPr>
          <w:p w14:paraId="5BFC9F5A" w14:textId="77777777" w:rsidR="00C55BE0" w:rsidRPr="00647EE6" w:rsidRDefault="00C55BE0" w:rsidP="00D75297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11)</w:t>
            </w:r>
          </w:p>
        </w:tc>
        <w:tc>
          <w:tcPr>
            <w:tcW w:w="13785" w:type="dxa"/>
            <w:vAlign w:val="center"/>
            <w:hideMark/>
          </w:tcPr>
          <w:p w14:paraId="057A26E0" w14:textId="77777777" w:rsidR="00C55BE0" w:rsidRPr="00647EE6" w:rsidRDefault="00C55BE0" w:rsidP="00D75297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iepirkuma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procedūrā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tādu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apstākļu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kuru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dēļ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varētu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uzskatīt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personīgi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ieinteresēts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var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rasties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interešu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konflikts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22BF063B" w14:textId="77777777" w:rsidTr="00115D82">
        <w:tc>
          <w:tcPr>
            <w:tcW w:w="1080" w:type="dxa"/>
            <w:vAlign w:val="center"/>
            <w:hideMark/>
          </w:tcPr>
          <w:p w14:paraId="2EB95EFB" w14:textId="77777777" w:rsidR="00C55BE0" w:rsidRPr="00647EE6" w:rsidRDefault="00C55BE0" w:rsidP="00D75297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12)</w:t>
            </w:r>
          </w:p>
        </w:tc>
        <w:tc>
          <w:tcPr>
            <w:tcW w:w="13785" w:type="dxa"/>
            <w:vAlign w:val="center"/>
            <w:hideMark/>
          </w:tcPr>
          <w:p w14:paraId="187D875F" w14:textId="77777777" w:rsidR="00C55BE0" w:rsidRPr="00647EE6" w:rsidRDefault="00C55BE0" w:rsidP="00D75297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es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iepirkuma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procedūras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dalībnieki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savstarpēji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saistītas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ne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likuma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"Par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nodokļiem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nodevām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", ne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iepirkuma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procedūru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piemērošanas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kārtību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pasūtītāja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finansētiem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izpratnē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613BC8F4" w14:textId="77777777" w:rsidTr="00115D82">
        <w:tc>
          <w:tcPr>
            <w:tcW w:w="1080" w:type="dxa"/>
            <w:vAlign w:val="center"/>
            <w:hideMark/>
          </w:tcPr>
          <w:p w14:paraId="155EBA30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13)</w:t>
            </w:r>
          </w:p>
        </w:tc>
        <w:tc>
          <w:tcPr>
            <w:tcW w:w="13785" w:type="dxa"/>
            <w:vAlign w:val="center"/>
            <w:hideMark/>
          </w:tcPr>
          <w:p w14:paraId="6E19721E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pasludināts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maksātnespējīgu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gram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un man</w:t>
            </w:r>
            <w:proofErr w:type="gram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piemērota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maksātnespējas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procedūra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iesniedzis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pieteikumu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tiesiskās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aizsardzības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procesa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ierosināšanu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neatrodos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likvidācijas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procesā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 mana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saimnieciskā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apturēta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pārtraukta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pretendents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Maksātnespējas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likuma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subjekts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);</w:t>
            </w:r>
          </w:p>
        </w:tc>
      </w:tr>
      <w:tr w:rsidR="00C55BE0" w:rsidRPr="00A3249C" w14:paraId="388D85E7" w14:textId="77777777" w:rsidTr="00115D82">
        <w:tc>
          <w:tcPr>
            <w:tcW w:w="1080" w:type="dxa"/>
            <w:vAlign w:val="center"/>
            <w:hideMark/>
          </w:tcPr>
          <w:p w14:paraId="4D9933BF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14)</w:t>
            </w:r>
          </w:p>
        </w:tc>
        <w:tc>
          <w:tcPr>
            <w:tcW w:w="13785" w:type="dxa"/>
            <w:vAlign w:val="center"/>
            <w:hideMark/>
          </w:tcPr>
          <w:p w14:paraId="096310F0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brīdī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nepastāv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Ministru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kabineta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2023. gada 7.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marta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Nr. 113 "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administrēšanas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uzraudzības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vispārējā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kārtība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zivsaimniecības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attīstībai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" 63.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ietvertie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nosacījumi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manis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pretendenta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izslēgšanai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no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saņēmēju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loka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799A6F55" w14:textId="77777777" w:rsidTr="00115D82">
        <w:tc>
          <w:tcPr>
            <w:tcW w:w="1080" w:type="dxa"/>
            <w:vAlign w:val="center"/>
            <w:hideMark/>
          </w:tcPr>
          <w:p w14:paraId="2856CA08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15)</w:t>
            </w:r>
          </w:p>
        </w:tc>
        <w:tc>
          <w:tcPr>
            <w:tcW w:w="13785" w:type="dxa"/>
            <w:vAlign w:val="center"/>
            <w:hideMark/>
          </w:tcPr>
          <w:p w14:paraId="249169F4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manā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konstatēti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pārkāpumi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nepastāv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spēkā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esošs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spriedums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kuru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atzīts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vainīgu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nodarījumā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saistībā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75CB99E2" w14:textId="77777777" w:rsidTr="00115D82">
        <w:tc>
          <w:tcPr>
            <w:tcW w:w="1080" w:type="dxa"/>
            <w:vAlign w:val="center"/>
            <w:hideMark/>
          </w:tcPr>
          <w:p w14:paraId="34AE0AD6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16)</w:t>
            </w:r>
          </w:p>
        </w:tc>
        <w:tc>
          <w:tcPr>
            <w:tcW w:w="13785" w:type="dxa"/>
            <w:vAlign w:val="center"/>
            <w:hideMark/>
          </w:tcPr>
          <w:p w14:paraId="13E2906E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izdarījis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pārkāpumu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noziedzīgu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nodarījumu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bijis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iesaistīts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situācijās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minētas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regulas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2021/1139</w:t>
            </w:r>
            <w:r w:rsidRPr="00647EE6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</w:t>
            </w: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11.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pantā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 un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mani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neattiecas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neviena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situācija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minēta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šīs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regulas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11. 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panta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1. </w:t>
            </w:r>
            <w:proofErr w:type="gram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un 3</w:t>
            </w:r>
            <w:proofErr w:type="gram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pieteikumu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nepieņemamības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laikposmu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sākuma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beigu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dienu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ievēroju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apņemos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ievērot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minētos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nosacījumus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pēc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visā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vismaz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piecus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gadus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pēc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galīgā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maksājuma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saņemšanas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7443B03B" w14:textId="77777777" w:rsidTr="00115D82">
        <w:tc>
          <w:tcPr>
            <w:tcW w:w="1080" w:type="dxa"/>
            <w:vAlign w:val="center"/>
            <w:hideMark/>
          </w:tcPr>
          <w:p w14:paraId="1EDB6FB6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17)</w:t>
            </w:r>
          </w:p>
        </w:tc>
        <w:tc>
          <w:tcPr>
            <w:tcW w:w="13785" w:type="dxa"/>
            <w:vAlign w:val="center"/>
            <w:hideMark/>
          </w:tcPr>
          <w:p w14:paraId="63594F4A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izpildījis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visus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pienākumus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saistībā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nodokļu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maksājumiem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sociālās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apdrošināšanas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iemaksām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nodokļu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sociālās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apdrošināšanas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iemaksu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parādi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lielāki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1000 </w:t>
            </w:r>
            <w:r w:rsidRPr="00A3249C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euro</w:t>
            </w: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ieņēmumu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dienesta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nodokļu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maksājumu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termiņš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pagarināts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atlikts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likumu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"Par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nodokļiem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nodevām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";</w:t>
            </w:r>
          </w:p>
        </w:tc>
      </w:tr>
      <w:tr w:rsidR="00C55BE0" w:rsidRPr="00A3249C" w14:paraId="37AE27F2" w14:textId="77777777" w:rsidTr="00115D82">
        <w:tc>
          <w:tcPr>
            <w:tcW w:w="1080" w:type="dxa"/>
            <w:vAlign w:val="center"/>
            <w:hideMark/>
          </w:tcPr>
          <w:p w14:paraId="63CCCC48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18)</w:t>
            </w:r>
          </w:p>
        </w:tc>
        <w:tc>
          <w:tcPr>
            <w:tcW w:w="13785" w:type="dxa"/>
            <w:vAlign w:val="center"/>
            <w:hideMark/>
          </w:tcPr>
          <w:p w14:paraId="42C5C1F2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pārkāpis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prasības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saistītajos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normatīvajos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par mani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pretendentu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izslēgšanu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saņēmēju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loka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47BB867A" w14:textId="77777777" w:rsidTr="00115D82">
        <w:tc>
          <w:tcPr>
            <w:tcW w:w="1080" w:type="dxa"/>
            <w:vAlign w:val="center"/>
            <w:hideMark/>
          </w:tcPr>
          <w:p w14:paraId="2F3F503F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19)</w:t>
            </w:r>
          </w:p>
        </w:tc>
        <w:tc>
          <w:tcPr>
            <w:tcW w:w="13785" w:type="dxa"/>
            <w:vAlign w:val="center"/>
            <w:hideMark/>
          </w:tcPr>
          <w:p w14:paraId="2AF658DB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centies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prettiesiskā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ceļā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iegūt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rīcībā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ierobežotas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pieejamības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konfidenciālu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)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krimināli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administratīvi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sodāmām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ietekmēt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dienestu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50802E53" w14:textId="77777777" w:rsidTr="00115D82">
        <w:tc>
          <w:tcPr>
            <w:tcW w:w="1080" w:type="dxa"/>
            <w:vAlign w:val="center"/>
            <w:hideMark/>
          </w:tcPr>
          <w:p w14:paraId="0022C3A7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20)</w:t>
            </w:r>
          </w:p>
        </w:tc>
        <w:tc>
          <w:tcPr>
            <w:tcW w:w="13785" w:type="dxa"/>
            <w:vAlign w:val="center"/>
            <w:hideMark/>
          </w:tcPr>
          <w:p w14:paraId="50B87C2A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manā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rīcībā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būs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pietiekami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resursi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paredzēto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pilnīgai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izpildei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plānotajos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6D6C8C97" w14:textId="77777777" w:rsidTr="00115D82">
        <w:tc>
          <w:tcPr>
            <w:tcW w:w="1080" w:type="dxa"/>
            <w:vAlign w:val="center"/>
            <w:hideMark/>
          </w:tcPr>
          <w:p w14:paraId="607E10EC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21)</w:t>
            </w:r>
          </w:p>
        </w:tc>
        <w:tc>
          <w:tcPr>
            <w:tcW w:w="13785" w:type="dxa"/>
            <w:vAlign w:val="center"/>
            <w:hideMark/>
          </w:tcPr>
          <w:p w14:paraId="5F5C27B7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piekrītu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publiskošanai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regulas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2021/1060</w:t>
            </w:r>
            <w:r w:rsidRPr="00647EE6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2</w:t>
            </w: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49.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panta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3.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regulas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2021/2115 123.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panta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2.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"j"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apakšpunktu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20F14BD4" w14:textId="77777777" w:rsidTr="00115D82">
        <w:tc>
          <w:tcPr>
            <w:tcW w:w="1080" w:type="dxa"/>
            <w:vAlign w:val="center"/>
            <w:hideMark/>
          </w:tcPr>
          <w:p w14:paraId="785A7962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22)</w:t>
            </w:r>
          </w:p>
        </w:tc>
        <w:tc>
          <w:tcPr>
            <w:tcW w:w="13785" w:type="dxa"/>
            <w:vAlign w:val="center"/>
            <w:hideMark/>
          </w:tcPr>
          <w:p w14:paraId="41EFA09C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ievērošu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normatīvajos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vides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aizsardzības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noteikumus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prasības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minētas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atbilstošajos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Latvijas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Republikas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normatīvajos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ietekmi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vidi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4125F06B" w14:textId="77777777" w:rsidTr="00115D82">
        <w:tc>
          <w:tcPr>
            <w:tcW w:w="1080" w:type="dxa"/>
            <w:vAlign w:val="center"/>
            <w:hideMark/>
          </w:tcPr>
          <w:p w14:paraId="63F6BE9C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23)</w:t>
            </w:r>
          </w:p>
        </w:tc>
        <w:tc>
          <w:tcPr>
            <w:tcW w:w="13785" w:type="dxa"/>
            <w:vAlign w:val="center"/>
            <w:hideMark/>
          </w:tcPr>
          <w:p w14:paraId="0BFB422A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pieprasītais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finansējums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tiks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izmantots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atbilstoši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aprakstam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2B1B30C4" w14:textId="77777777" w:rsidTr="00115D82">
        <w:tc>
          <w:tcPr>
            <w:tcW w:w="1080" w:type="dxa"/>
            <w:vAlign w:val="center"/>
            <w:hideMark/>
          </w:tcPr>
          <w:p w14:paraId="67850452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24)</w:t>
            </w:r>
          </w:p>
        </w:tc>
        <w:tc>
          <w:tcPr>
            <w:tcW w:w="13785" w:type="dxa"/>
            <w:vAlign w:val="center"/>
            <w:hideMark/>
          </w:tcPr>
          <w:p w14:paraId="7503BA9E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nodrošināšu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pamattiesību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ievērošanu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atbilstību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Pamattiesību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hartai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–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ņemšu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vērā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veicināšu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vīriešu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sieviešu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līdztiesību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dzimumu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līdztiesības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aspekta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integrēšanu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dzimumperspektīvas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integrēšanu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novēršot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jebkādu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diskrimināciju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dzimuma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rases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etniskās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izcelsmes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ticības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pārliecības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invaliditātes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vecuma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seksuālās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orientācijas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dēļ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nodrošināšu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piekļūstamību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personām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invaliditāti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7C942B59" w14:textId="77777777" w:rsidTr="00115D82">
        <w:tc>
          <w:tcPr>
            <w:tcW w:w="1080" w:type="dxa"/>
            <w:vAlign w:val="center"/>
            <w:hideMark/>
          </w:tcPr>
          <w:p w14:paraId="4D2AA24C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25)</w:t>
            </w:r>
          </w:p>
        </w:tc>
        <w:tc>
          <w:tcPr>
            <w:tcW w:w="13785" w:type="dxa"/>
            <w:vAlign w:val="center"/>
            <w:hideMark/>
          </w:tcPr>
          <w:p w14:paraId="77A1284E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man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pretendentam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patiesajam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labuma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guvējam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piesaistītajam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finansētājam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starptautiskās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nacionālās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sankcijas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būtiskas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finanšu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kapitāla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tirgus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intereses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ietekmējošas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Ziemeļatlantijas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organizācijas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dalībvalsts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sankcijas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ievēroju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Starptautisko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Latvijas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Republikas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nacionālo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sankciju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likumu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saistošās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sankcijas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iepirkuma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pretendentu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normatīvajiem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iepirkumu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jomā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būtu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piešķiramas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slēgšanas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4CCE4C5F" w14:textId="77777777" w:rsidTr="00115D82">
        <w:tc>
          <w:tcPr>
            <w:tcW w:w="1080" w:type="dxa"/>
            <w:vAlign w:val="center"/>
            <w:hideMark/>
          </w:tcPr>
          <w:p w14:paraId="5B4FEEA4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26)</w:t>
            </w:r>
          </w:p>
        </w:tc>
        <w:tc>
          <w:tcPr>
            <w:tcW w:w="13785" w:type="dxa"/>
            <w:vAlign w:val="center"/>
            <w:hideMark/>
          </w:tcPr>
          <w:p w14:paraId="2482E66B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pēdējo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divu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gadu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pirms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iesniegšanas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pārcēlis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uzņēmējdarbības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tiks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sākotnējais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ieguldījums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plānots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piesaistīt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apņemos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to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nepārcelt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divus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gadus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pēc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projekta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īstenošanas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plānoju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saņemt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2022. gada 14.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decembra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Regulu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2022/2472,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kuru,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piemērojot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Līguma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Eiropas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Savienības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107. </w:t>
            </w:r>
            <w:proofErr w:type="gram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un 108</w:t>
            </w:r>
            <w:proofErr w:type="gram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.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pantu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dažu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kategoriju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lauksaimniecības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mežsaimniecības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nozarē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lauku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apvidos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atzīst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saderīgu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iekšējo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tirgu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;</w:t>
            </w:r>
          </w:p>
        </w:tc>
      </w:tr>
      <w:tr w:rsidR="00C55BE0" w:rsidRPr="00A3249C" w14:paraId="4CB1ACD0" w14:textId="77777777" w:rsidTr="00115D82">
        <w:tc>
          <w:tcPr>
            <w:tcW w:w="1080" w:type="dxa"/>
            <w:vAlign w:val="center"/>
            <w:hideMark/>
          </w:tcPr>
          <w:p w14:paraId="2154A684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27)</w:t>
            </w:r>
          </w:p>
        </w:tc>
        <w:tc>
          <w:tcPr>
            <w:tcW w:w="13785" w:type="dxa"/>
            <w:vAlign w:val="center"/>
            <w:hideMark/>
          </w:tcPr>
          <w:p w14:paraId="4784CCCD" w14:textId="77777777" w:rsidR="00C55BE0" w:rsidRPr="00647EE6" w:rsidRDefault="00C55BE0" w:rsidP="00115D82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apliecinu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pretendenta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dalībniekiem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gram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un to</w:t>
            </w:r>
            <w:proofErr w:type="gram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saistītajām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personām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reģistrētas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valstī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teritorijā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minēta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normatīvajos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aktos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zemu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nodokļu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beznodokļu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valstīm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teritorijām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nepieder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vairāk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25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procenti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kapitāldaļu</w:t>
            </w:r>
            <w:proofErr w:type="spellEnd"/>
            <w:r w:rsidRPr="00647EE6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</w:t>
            </w:r>
          </w:p>
        </w:tc>
      </w:tr>
    </w:tbl>
    <w:p w14:paraId="573F8752" w14:textId="77777777" w:rsidR="00C55BE0" w:rsidRPr="00647EE6" w:rsidRDefault="00C55BE0" w:rsidP="00C55BE0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3B3733E0" w14:textId="77777777" w:rsidR="00C55BE0" w:rsidRPr="00647EE6" w:rsidRDefault="00C55BE0" w:rsidP="00C55BE0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3249C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</w:t>
      </w:r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Eiropas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Parlamenta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Padomes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2021. gada 7.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jūlija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Regula (ES) 2021/1139,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ar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ko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izveido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Eiropas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Jūrlietu,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zvejniecības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akvakultūras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fondu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groza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Regulu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(ES) 2017/1004, (EK) Nr. 861/2006, (EK) Nr. 1198/2006 un (EK) Nr. 791/2007.</w:t>
      </w:r>
    </w:p>
    <w:p w14:paraId="4FCDDF1B" w14:textId="1CC315CE" w:rsidR="00C55BE0" w:rsidRPr="00A3249C" w:rsidRDefault="00C55BE0" w:rsidP="00C55BE0">
      <w:pPr>
        <w:spacing w:before="130" w:after="0" w:line="260" w:lineRule="exact"/>
        <w:ind w:firstLine="539"/>
        <w:jc w:val="both"/>
        <w:rPr>
          <w:rFonts w:ascii="Cambria" w:hAnsi="Cambria"/>
          <w:sz w:val="19"/>
        </w:rPr>
      </w:pPr>
      <w:r w:rsidRPr="00A3249C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2</w:t>
      </w:r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Eiropas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Parlamenta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Padomes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(ES) 2021. gada 24.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jūnija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Regula (ES) 2021/1060,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ar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ko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paredz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kopīgus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noteikumus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Eiropas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Reģionālās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attīstības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fondu,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Eiropas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Sociālo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fondu Plus,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Kohēzijas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fondu,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Taisnīgas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pārkārtošanās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fondu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Eiropas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Jūrlietu,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zvejniecības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akvakultūras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fondu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finanšu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noteikumus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attiecībā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uz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tiem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uz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Patvēruma,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migrācijas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integrācijas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fondu,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Iekšējās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drošības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fondu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Finansiāla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atbalsta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instrumentu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robežu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pārvaldībai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un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vīzu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politikai</w:t>
      </w:r>
      <w:proofErr w:type="spellEnd"/>
      <w:r w:rsidRPr="00A3249C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33B8721F" w14:textId="77777777" w:rsidR="00C55BE0" w:rsidRDefault="00C55BE0"/>
    <w:sectPr w:rsidR="00C55BE0" w:rsidSect="00C55BE0">
      <w:headerReference w:type="first" r:id="rId6"/>
      <w:pgSz w:w="11907" w:h="16839"/>
      <w:pgMar w:top="1871" w:right="1191" w:bottom="1474" w:left="119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4727" w14:textId="77777777" w:rsidR="00B5023B" w:rsidRDefault="00B5023B">
      <w:pPr>
        <w:spacing w:after="0" w:line="240" w:lineRule="auto"/>
      </w:pPr>
      <w:r>
        <w:separator/>
      </w:r>
    </w:p>
  </w:endnote>
  <w:endnote w:type="continuationSeparator" w:id="0">
    <w:p w14:paraId="5BFEF213" w14:textId="77777777" w:rsidR="00B5023B" w:rsidRDefault="00B5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E31F" w14:textId="77777777" w:rsidR="00B5023B" w:rsidRDefault="00B5023B">
      <w:pPr>
        <w:spacing w:after="0" w:line="240" w:lineRule="auto"/>
      </w:pPr>
      <w:r>
        <w:separator/>
      </w:r>
    </w:p>
  </w:footnote>
  <w:footnote w:type="continuationSeparator" w:id="0">
    <w:p w14:paraId="0CC9CBBC" w14:textId="77777777" w:rsidR="00B5023B" w:rsidRDefault="00B5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FAA2" w14:textId="77777777" w:rsidR="00C55BE0" w:rsidRPr="00A3249C" w:rsidRDefault="00C55BE0" w:rsidP="00A3249C">
    <w:pPr>
      <w:pStyle w:val="Galvene"/>
      <w:spacing w:after="2820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E0"/>
    <w:rsid w:val="00B5023B"/>
    <w:rsid w:val="00C55BE0"/>
    <w:rsid w:val="00D75297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FF28"/>
  <w15:chartTrackingRefBased/>
  <w15:docId w15:val="{C00B2C07-B937-4D2B-AE58-8AE6C13F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5B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55B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5B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5B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5B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5B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5B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5B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5B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5B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55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55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55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55BE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55BE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55BE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55BE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55BE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55BE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5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55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5B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55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5B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55BE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5B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55BE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5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55BE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5BE0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55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55BE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7929</Characters>
  <Application>Microsoft Office Word</Application>
  <DocSecurity>0</DocSecurity>
  <Lines>247</Lines>
  <Paragraphs>126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2</cp:revision>
  <dcterms:created xsi:type="dcterms:W3CDTF">2026-06-10T10:40:00Z</dcterms:created>
  <dcterms:modified xsi:type="dcterms:W3CDTF">2026-06-10T10:43:00Z</dcterms:modified>
</cp:coreProperties>
</file>