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ACEA4" w14:textId="77777777" w:rsidR="00EE7E40" w:rsidRPr="00677363" w:rsidRDefault="00EE7E40" w:rsidP="00EE7E40">
      <w:pPr>
        <w:suppressAutoHyphens/>
        <w:spacing w:before="130" w:line="260" w:lineRule="exact"/>
        <w:ind w:firstLine="539"/>
        <w:jc w:val="right"/>
        <w:rPr>
          <w:rFonts w:ascii="Cambria" w:hAnsi="Cambria"/>
          <w:sz w:val="19"/>
        </w:rPr>
      </w:pPr>
      <w:r w:rsidRPr="00677363">
        <w:rPr>
          <w:rFonts w:ascii="Cambria" w:hAnsi="Cambria"/>
          <w:sz w:val="19"/>
        </w:rPr>
        <w:t>3. pielikums</w:t>
      </w:r>
      <w:r>
        <w:rPr>
          <w:rFonts w:ascii="Cambria" w:hAnsi="Cambria"/>
          <w:sz w:val="19"/>
        </w:rPr>
        <w:br/>
      </w:r>
      <w:r w:rsidRPr="00677363">
        <w:rPr>
          <w:rFonts w:ascii="Cambria" w:hAnsi="Cambria"/>
          <w:sz w:val="19"/>
        </w:rPr>
        <w:t>Latvijas Bankas 2022. gada 3. oktobra</w:t>
      </w:r>
      <w:r>
        <w:rPr>
          <w:rFonts w:ascii="Cambria" w:hAnsi="Cambria"/>
          <w:sz w:val="19"/>
        </w:rPr>
        <w:br/>
      </w:r>
      <w:r w:rsidRPr="00677363">
        <w:rPr>
          <w:rFonts w:ascii="Cambria" w:hAnsi="Cambria"/>
          <w:sz w:val="19"/>
        </w:rPr>
        <w:t>noteikumiem Nr. 221</w:t>
      </w:r>
    </w:p>
    <w:p w14:paraId="1E0658A0" w14:textId="450F9354" w:rsidR="00EE7E40" w:rsidRPr="00D252F1" w:rsidRDefault="00CD3634" w:rsidP="00EE7E40">
      <w:pPr>
        <w:suppressAutoHyphens/>
        <w:spacing w:before="360"/>
        <w:ind w:left="567" w:right="567"/>
        <w:jc w:val="center"/>
        <w:rPr>
          <w:rFonts w:ascii="Cambria" w:eastAsia="Arial" w:hAnsi="Cambria"/>
          <w:b/>
          <w:bCs/>
          <w:sz w:val="22"/>
          <w:szCs w:val="24"/>
        </w:rPr>
      </w:pPr>
      <w:r w:rsidRPr="00CD3634">
        <w:rPr>
          <w:rFonts w:ascii="Cambria" w:eastAsia="Arial" w:hAnsi="Cambria"/>
          <w:b/>
          <w:bCs/>
          <w:sz w:val="22"/>
          <w:szCs w:val="24"/>
        </w:rPr>
        <w:t>Apliecinājums par iepazīšanos ar personas datu apstrādes kārtību</w:t>
      </w:r>
    </w:p>
    <w:p w14:paraId="7482AD17" w14:textId="77777777" w:rsidR="00EE7E40" w:rsidRDefault="00EE7E40" w:rsidP="00EE7E40">
      <w:pPr>
        <w:suppressAutoHyphens/>
        <w:spacing w:before="130" w:line="260" w:lineRule="exact"/>
        <w:ind w:firstLine="539"/>
        <w:rPr>
          <w:rFonts w:ascii="Cambria" w:eastAsia="Arial" w:hAnsi="Cambria"/>
          <w:b/>
          <w:bCs/>
          <w:sz w:val="19"/>
          <w:szCs w:val="24"/>
        </w:rPr>
      </w:pPr>
    </w:p>
    <w:p w14:paraId="543749AF" w14:textId="77777777" w:rsidR="00EE7E40" w:rsidRPr="00677363" w:rsidRDefault="00EE7E40" w:rsidP="00EE7E40">
      <w:pPr>
        <w:suppressAutoHyphens/>
        <w:spacing w:before="130" w:line="260" w:lineRule="exact"/>
        <w:ind w:firstLine="539"/>
        <w:rPr>
          <w:rFonts w:ascii="Cambria" w:eastAsia="Arial" w:hAnsi="Cambria"/>
          <w:b/>
          <w:bCs/>
          <w:sz w:val="19"/>
          <w:szCs w:val="24"/>
        </w:rPr>
      </w:pPr>
      <w:r w:rsidRPr="00677363">
        <w:rPr>
          <w:rFonts w:ascii="Cambria" w:eastAsia="Arial" w:hAnsi="Cambria"/>
          <w:b/>
          <w:bCs/>
          <w:sz w:val="19"/>
          <w:szCs w:val="24"/>
        </w:rPr>
        <w:t>Personas datu apstrādes mērķis un tiesiskais pamats</w:t>
      </w:r>
    </w:p>
    <w:p w14:paraId="6812A200" w14:textId="4D830594" w:rsidR="00EE7E40" w:rsidRPr="00677363" w:rsidRDefault="00EE7E40" w:rsidP="00EE7E40">
      <w:pPr>
        <w:suppressAutoHyphens/>
        <w:spacing w:before="130" w:line="260" w:lineRule="exact"/>
        <w:ind w:firstLine="539"/>
        <w:jc w:val="both"/>
        <w:rPr>
          <w:rFonts w:ascii="Cambria" w:eastAsia="Arial" w:hAnsi="Cambria"/>
          <w:sz w:val="19"/>
          <w:szCs w:val="24"/>
        </w:rPr>
      </w:pPr>
      <w:r w:rsidRPr="00677363">
        <w:rPr>
          <w:rFonts w:ascii="Cambria" w:eastAsia="Arial" w:hAnsi="Cambria"/>
          <w:sz w:val="19"/>
          <w:szCs w:val="24"/>
        </w:rPr>
        <w:t xml:space="preserve">Visi personas dati, kas </w:t>
      </w:r>
      <w:r w:rsidR="00CD3634" w:rsidRPr="00CD3634">
        <w:rPr>
          <w:rFonts w:ascii="Cambria" w:eastAsia="Arial" w:hAnsi="Cambria"/>
          <w:sz w:val="19"/>
          <w:szCs w:val="24"/>
        </w:rPr>
        <w:t>iesniedzami Latvijas Bankai</w:t>
      </w:r>
      <w:r w:rsidRPr="00677363">
        <w:rPr>
          <w:rFonts w:ascii="Cambria" w:eastAsia="Arial" w:hAnsi="Cambria"/>
          <w:sz w:val="19"/>
          <w:szCs w:val="24"/>
        </w:rPr>
        <w:t xml:space="preserve">, ir nepieciešami, lai Latvijas Banka uzraudzības funkcijas ietvaros varētu izvērtēt personu atbilstību Maksājumu pakalpojumu un elektroniskās naudas likuma un Noziedzīgi iegūtu līdzekļu legalizācijas un terorisma un </w:t>
      </w:r>
      <w:proofErr w:type="spellStart"/>
      <w:r w:rsidRPr="00677363">
        <w:rPr>
          <w:rFonts w:ascii="Cambria" w:eastAsia="Arial" w:hAnsi="Cambria"/>
          <w:sz w:val="19"/>
          <w:szCs w:val="24"/>
        </w:rPr>
        <w:t>proliferācijas</w:t>
      </w:r>
      <w:proofErr w:type="spellEnd"/>
      <w:r w:rsidRPr="00677363">
        <w:rPr>
          <w:rFonts w:ascii="Cambria" w:eastAsia="Arial" w:hAnsi="Cambria"/>
          <w:sz w:val="19"/>
          <w:szCs w:val="24"/>
        </w:rPr>
        <w:t xml:space="preserve"> finansēšanas novēršanas </w:t>
      </w:r>
      <w:r w:rsidR="00CD3634" w:rsidRPr="00CD3634">
        <w:rPr>
          <w:rFonts w:ascii="Cambria" w:eastAsia="Arial" w:hAnsi="Cambria"/>
          <w:sz w:val="19"/>
          <w:szCs w:val="24"/>
        </w:rPr>
        <w:t>likuma prasībām</w:t>
      </w:r>
      <w:r w:rsidRPr="00677363">
        <w:rPr>
          <w:rFonts w:ascii="Cambria" w:eastAsia="Arial" w:hAnsi="Cambria"/>
          <w:sz w:val="19"/>
          <w:szCs w:val="24"/>
        </w:rPr>
        <w:t xml:space="preserve">. Ja dati netiek iesniegti, Latvijas Banka nevar izvērtēt personu atbilstību </w:t>
      </w:r>
      <w:r w:rsidR="00CD3634" w:rsidRPr="00CD3634">
        <w:rPr>
          <w:rFonts w:ascii="Cambria" w:eastAsia="Arial" w:hAnsi="Cambria"/>
          <w:sz w:val="19"/>
          <w:szCs w:val="24"/>
        </w:rPr>
        <w:t>minēto tiesību</w:t>
      </w:r>
      <w:r w:rsidR="00CD3634">
        <w:rPr>
          <w:rFonts w:ascii="Cambria" w:eastAsia="Arial" w:hAnsi="Cambria"/>
          <w:sz w:val="19"/>
          <w:szCs w:val="24"/>
        </w:rPr>
        <w:t xml:space="preserve"> </w:t>
      </w:r>
      <w:r w:rsidRPr="00677363">
        <w:rPr>
          <w:rFonts w:ascii="Cambria" w:eastAsia="Arial" w:hAnsi="Cambria"/>
          <w:sz w:val="19"/>
          <w:szCs w:val="24"/>
        </w:rPr>
        <w:t>aktu prasībām un lemt par valūtu tirdzniecības sabiedrību reģistrēšanu.</w:t>
      </w:r>
    </w:p>
    <w:p w14:paraId="2DDDDBA1" w14:textId="77777777" w:rsidR="00EE7E40" w:rsidRPr="00677363" w:rsidRDefault="00EE7E40" w:rsidP="00EE7E40">
      <w:pPr>
        <w:suppressAutoHyphens/>
        <w:spacing w:before="130" w:line="260" w:lineRule="exact"/>
        <w:ind w:firstLine="539"/>
        <w:rPr>
          <w:rFonts w:ascii="Cambria" w:eastAsia="Arial" w:hAnsi="Cambria"/>
          <w:b/>
          <w:bCs/>
          <w:sz w:val="19"/>
          <w:szCs w:val="24"/>
        </w:rPr>
      </w:pPr>
      <w:r w:rsidRPr="00677363">
        <w:rPr>
          <w:rFonts w:ascii="Cambria" w:eastAsia="Arial" w:hAnsi="Cambria"/>
          <w:b/>
          <w:bCs/>
          <w:sz w:val="19"/>
          <w:szCs w:val="24"/>
        </w:rPr>
        <w:t>Personas datu izpaušana</w:t>
      </w:r>
    </w:p>
    <w:p w14:paraId="333F6C1B" w14:textId="61C4935A" w:rsidR="00EE7E40" w:rsidRPr="00677363" w:rsidRDefault="00EE7E40" w:rsidP="00EE7E40">
      <w:pPr>
        <w:suppressAutoHyphens/>
        <w:spacing w:before="130" w:line="260" w:lineRule="exact"/>
        <w:ind w:firstLine="539"/>
        <w:jc w:val="both"/>
        <w:rPr>
          <w:rFonts w:ascii="Cambria" w:hAnsi="Cambria"/>
          <w:sz w:val="19"/>
          <w:szCs w:val="24"/>
        </w:rPr>
      </w:pPr>
      <w:r w:rsidRPr="00677363">
        <w:rPr>
          <w:rFonts w:ascii="Cambria" w:eastAsia="Arial" w:hAnsi="Cambria"/>
          <w:sz w:val="19"/>
          <w:szCs w:val="24"/>
        </w:rPr>
        <w:t xml:space="preserve">Iesniegtos personas datus Latvijas Bankai ir tiesības izpaust Maksājumu pakalpojumu un elektroniskās naudas likuma </w:t>
      </w:r>
      <w:r w:rsidR="00CD3634" w:rsidRPr="00CD3634">
        <w:rPr>
          <w:rFonts w:ascii="Cambria" w:eastAsia="Arial" w:hAnsi="Cambria"/>
          <w:sz w:val="19"/>
          <w:szCs w:val="24"/>
        </w:rPr>
        <w:t>26.</w:t>
      </w:r>
      <w:r w:rsidR="00CD3634" w:rsidRPr="00CD3634">
        <w:rPr>
          <w:rFonts w:ascii="Cambria" w:eastAsia="Arial" w:hAnsi="Cambria"/>
          <w:sz w:val="19"/>
          <w:szCs w:val="24"/>
          <w:vertAlign w:val="superscript"/>
        </w:rPr>
        <w:t>6</w:t>
      </w:r>
      <w:r w:rsidR="00CD3634" w:rsidRPr="00CD3634">
        <w:rPr>
          <w:rFonts w:ascii="Cambria" w:eastAsia="Arial" w:hAnsi="Cambria"/>
          <w:sz w:val="19"/>
          <w:szCs w:val="24"/>
        </w:rPr>
        <w:t xml:space="preserve"> un 52. pantā</w:t>
      </w:r>
      <w:r w:rsidR="00CD3634">
        <w:rPr>
          <w:rFonts w:ascii="Cambria" w:eastAsia="Arial" w:hAnsi="Cambria"/>
          <w:sz w:val="19"/>
          <w:szCs w:val="24"/>
        </w:rPr>
        <w:t xml:space="preserve"> </w:t>
      </w:r>
      <w:r w:rsidRPr="00677363">
        <w:rPr>
          <w:rFonts w:ascii="Cambria" w:eastAsia="Arial" w:hAnsi="Cambria"/>
          <w:sz w:val="19"/>
          <w:szCs w:val="24"/>
        </w:rPr>
        <w:t>un Latvijas Bankas likuma 77. pantā noteiktajos gadījumos, kā arī tiesībsargājošajām iestādēm atbilstoši to darbību reglamentējošajos normatīvajos aktos noteiktajām tiesībām pieprasīt Latvijas Bankai šādu informāciju.</w:t>
      </w:r>
    </w:p>
    <w:p w14:paraId="23231FA0" w14:textId="77777777" w:rsidR="00EE7E40" w:rsidRPr="00677363" w:rsidRDefault="00EE7E40" w:rsidP="00EE7E40">
      <w:pPr>
        <w:suppressAutoHyphens/>
        <w:spacing w:before="130" w:line="260" w:lineRule="exact"/>
        <w:ind w:firstLine="539"/>
        <w:rPr>
          <w:rFonts w:ascii="Cambria" w:eastAsia="Arial" w:hAnsi="Cambria"/>
          <w:b/>
          <w:bCs/>
          <w:sz w:val="19"/>
          <w:szCs w:val="24"/>
        </w:rPr>
      </w:pPr>
      <w:r w:rsidRPr="00677363">
        <w:rPr>
          <w:rFonts w:ascii="Cambria" w:eastAsia="Arial" w:hAnsi="Cambria"/>
          <w:b/>
          <w:bCs/>
          <w:sz w:val="19"/>
          <w:szCs w:val="24"/>
        </w:rPr>
        <w:t>Piemērojamais glabāšanas periods</w:t>
      </w:r>
    </w:p>
    <w:p w14:paraId="15811279" w14:textId="77777777" w:rsidR="00EE7E40" w:rsidRPr="00677363" w:rsidRDefault="00EE7E40" w:rsidP="00EE7E40">
      <w:pPr>
        <w:suppressAutoHyphens/>
        <w:spacing w:before="130" w:line="260" w:lineRule="exact"/>
        <w:ind w:firstLine="539"/>
        <w:jc w:val="both"/>
        <w:rPr>
          <w:rFonts w:ascii="Cambria" w:eastAsia="Arial" w:hAnsi="Cambria"/>
          <w:sz w:val="19"/>
          <w:szCs w:val="24"/>
        </w:rPr>
      </w:pPr>
      <w:r w:rsidRPr="00677363">
        <w:rPr>
          <w:rFonts w:ascii="Cambria" w:eastAsia="Arial" w:hAnsi="Cambria"/>
          <w:sz w:val="19"/>
          <w:szCs w:val="24"/>
        </w:rPr>
        <w:t>Latvijas Banka glabā iesniegtos personas datus 10 gadu pēc valūtu tirdzniecības sabiedrības likvidācijas vai dienas, kad izbeigta Latvijas Bankas veiktā valūtu tirdzniecības sabiedrības uzraudz</w:t>
      </w:r>
      <w:r w:rsidRPr="00677363">
        <w:rPr>
          <w:rFonts w:ascii="Cambria" w:eastAsia="Arial" w:hAnsi="Cambria" w:hint="eastAsia"/>
          <w:sz w:val="19"/>
          <w:szCs w:val="24"/>
        </w:rPr>
        <w:t>ī</w:t>
      </w:r>
      <w:r w:rsidRPr="00677363">
        <w:rPr>
          <w:rFonts w:ascii="Cambria" w:eastAsia="Arial" w:hAnsi="Cambria"/>
          <w:sz w:val="19"/>
          <w:szCs w:val="24"/>
        </w:rPr>
        <w:t>ba.</w:t>
      </w:r>
    </w:p>
    <w:p w14:paraId="13AE5B2A" w14:textId="77777777" w:rsidR="00EE7E40" w:rsidRPr="00677363" w:rsidRDefault="00EE7E40" w:rsidP="00EE7E40">
      <w:pPr>
        <w:suppressAutoHyphens/>
        <w:spacing w:before="130" w:line="260" w:lineRule="exact"/>
        <w:ind w:firstLine="539"/>
        <w:rPr>
          <w:rFonts w:ascii="Cambria" w:eastAsia="Arial" w:hAnsi="Cambria"/>
          <w:b/>
          <w:bCs/>
          <w:sz w:val="19"/>
          <w:szCs w:val="24"/>
        </w:rPr>
      </w:pPr>
      <w:r w:rsidRPr="00677363">
        <w:rPr>
          <w:rFonts w:ascii="Cambria" w:eastAsia="Arial" w:hAnsi="Cambria"/>
          <w:b/>
          <w:bCs/>
          <w:sz w:val="19"/>
          <w:szCs w:val="24"/>
        </w:rPr>
        <w:t>Piemērojamā datu aizsardzība un datu pārzinis</w:t>
      </w:r>
    </w:p>
    <w:p w14:paraId="22EC1E5F" w14:textId="77777777" w:rsidR="00EE7E40" w:rsidRPr="00677363" w:rsidRDefault="00EE7E40" w:rsidP="00EE7E40">
      <w:pPr>
        <w:suppressAutoHyphens/>
        <w:spacing w:before="130" w:line="260" w:lineRule="exact"/>
        <w:ind w:firstLine="539"/>
        <w:jc w:val="both"/>
        <w:rPr>
          <w:rFonts w:ascii="Cambria" w:eastAsia="Calibri" w:hAnsi="Cambria"/>
          <w:sz w:val="19"/>
          <w:szCs w:val="24"/>
        </w:rPr>
      </w:pPr>
      <w:r w:rsidRPr="00677363">
        <w:rPr>
          <w:rFonts w:ascii="Cambria" w:eastAsia="Calibri" w:hAnsi="Cambria"/>
          <w:sz w:val="19"/>
          <w:szCs w:val="24"/>
        </w:rPr>
        <w:t>Latvijas Banka Regulas Nr. 2016/679</w:t>
      </w:r>
      <w:r w:rsidRPr="00677363">
        <w:rPr>
          <w:rFonts w:ascii="Cambria" w:eastAsia="Calibri" w:hAnsi="Cambria"/>
          <w:sz w:val="19"/>
          <w:szCs w:val="24"/>
          <w:vertAlign w:val="superscript"/>
        </w:rPr>
        <w:footnoteReference w:customMarkFollows="1" w:id="1"/>
        <w:t>*</w:t>
      </w:r>
      <w:r w:rsidRPr="00677363">
        <w:rPr>
          <w:rFonts w:ascii="Cambria" w:eastAsia="Calibri" w:hAnsi="Cambria"/>
          <w:sz w:val="19"/>
          <w:szCs w:val="24"/>
        </w:rPr>
        <w:t xml:space="preserve"> izpratn</w:t>
      </w:r>
      <w:r w:rsidRPr="00677363">
        <w:rPr>
          <w:rFonts w:ascii="Cambria" w:eastAsia="Calibri" w:hAnsi="Cambria" w:hint="eastAsia"/>
          <w:sz w:val="19"/>
          <w:szCs w:val="24"/>
        </w:rPr>
        <w:t>ē</w:t>
      </w:r>
      <w:r w:rsidRPr="00677363">
        <w:rPr>
          <w:rFonts w:ascii="Cambria" w:eastAsia="Calibri" w:hAnsi="Cambria"/>
          <w:sz w:val="19"/>
          <w:szCs w:val="24"/>
        </w:rPr>
        <w:t xml:space="preserve"> ir uzskat</w:t>
      </w:r>
      <w:r w:rsidRPr="00677363">
        <w:rPr>
          <w:rFonts w:ascii="Cambria" w:eastAsia="Calibri" w:hAnsi="Cambria" w:hint="eastAsia"/>
          <w:sz w:val="19"/>
          <w:szCs w:val="24"/>
        </w:rPr>
        <w:t>ā</w:t>
      </w:r>
      <w:r w:rsidRPr="00677363">
        <w:rPr>
          <w:rFonts w:ascii="Cambria" w:eastAsia="Calibri" w:hAnsi="Cambria"/>
          <w:sz w:val="19"/>
          <w:szCs w:val="24"/>
        </w:rPr>
        <w:t>ma par p</w:t>
      </w:r>
      <w:r w:rsidRPr="00677363">
        <w:rPr>
          <w:rFonts w:ascii="Cambria" w:eastAsia="Calibri" w:hAnsi="Cambria" w:hint="eastAsia"/>
          <w:sz w:val="19"/>
          <w:szCs w:val="24"/>
        </w:rPr>
        <w:t>ā</w:t>
      </w:r>
      <w:r w:rsidRPr="00677363">
        <w:rPr>
          <w:rFonts w:ascii="Cambria" w:eastAsia="Calibri" w:hAnsi="Cambria"/>
          <w:sz w:val="19"/>
          <w:szCs w:val="24"/>
        </w:rPr>
        <w:t>rzini un ir atbild</w:t>
      </w:r>
      <w:r w:rsidRPr="00677363">
        <w:rPr>
          <w:rFonts w:ascii="Cambria" w:eastAsia="Calibri" w:hAnsi="Cambria" w:hint="eastAsia"/>
          <w:sz w:val="19"/>
          <w:szCs w:val="24"/>
        </w:rPr>
        <w:t>ī</w:t>
      </w:r>
      <w:r w:rsidRPr="00677363">
        <w:rPr>
          <w:rFonts w:ascii="Cambria" w:eastAsia="Calibri" w:hAnsi="Cambria"/>
          <w:sz w:val="19"/>
          <w:szCs w:val="24"/>
        </w:rPr>
        <w:t>ga par veikto personas datu apstr</w:t>
      </w:r>
      <w:r w:rsidRPr="00677363">
        <w:rPr>
          <w:rFonts w:ascii="Cambria" w:eastAsia="Calibri" w:hAnsi="Cambria" w:hint="eastAsia"/>
          <w:sz w:val="19"/>
          <w:szCs w:val="24"/>
        </w:rPr>
        <w:t>ā</w:t>
      </w:r>
      <w:r w:rsidRPr="00677363">
        <w:rPr>
          <w:rFonts w:ascii="Cambria" w:eastAsia="Calibri" w:hAnsi="Cambria"/>
          <w:sz w:val="19"/>
          <w:szCs w:val="24"/>
        </w:rPr>
        <w:t>di atbilstoši Regul</w:t>
      </w:r>
      <w:r w:rsidRPr="00677363">
        <w:rPr>
          <w:rFonts w:ascii="Cambria" w:eastAsia="Calibri" w:hAnsi="Cambria" w:hint="eastAsia"/>
          <w:sz w:val="19"/>
          <w:szCs w:val="24"/>
        </w:rPr>
        <w:t>ā</w:t>
      </w:r>
      <w:r w:rsidRPr="00677363">
        <w:rPr>
          <w:rFonts w:ascii="Cambria" w:eastAsia="Calibri" w:hAnsi="Cambria"/>
          <w:sz w:val="19"/>
          <w:szCs w:val="24"/>
        </w:rPr>
        <w:t xml:space="preserve"> Nr. 2016/679 noteiktajai k</w:t>
      </w:r>
      <w:r w:rsidRPr="00677363">
        <w:rPr>
          <w:rFonts w:ascii="Cambria" w:eastAsia="Calibri" w:hAnsi="Cambria" w:hint="eastAsia"/>
          <w:sz w:val="19"/>
          <w:szCs w:val="24"/>
        </w:rPr>
        <w:t>ā</w:t>
      </w:r>
      <w:r w:rsidRPr="00677363">
        <w:rPr>
          <w:rFonts w:ascii="Cambria" w:eastAsia="Calibri" w:hAnsi="Cambria"/>
          <w:sz w:val="19"/>
          <w:szCs w:val="24"/>
        </w:rPr>
        <w:t>rt</w:t>
      </w:r>
      <w:r w:rsidRPr="00677363">
        <w:rPr>
          <w:rFonts w:ascii="Cambria" w:eastAsia="Calibri" w:hAnsi="Cambria" w:hint="eastAsia"/>
          <w:sz w:val="19"/>
          <w:szCs w:val="24"/>
        </w:rPr>
        <w:t>ī</w:t>
      </w:r>
      <w:r w:rsidRPr="00677363">
        <w:rPr>
          <w:rFonts w:ascii="Cambria" w:eastAsia="Calibri" w:hAnsi="Cambria"/>
          <w:sz w:val="19"/>
          <w:szCs w:val="24"/>
        </w:rPr>
        <w:t>bai.</w:t>
      </w:r>
    </w:p>
    <w:p w14:paraId="5755DA42" w14:textId="77777777" w:rsidR="00EE7E40" w:rsidRPr="00677363" w:rsidRDefault="00EE7E40" w:rsidP="00EE7E40">
      <w:pPr>
        <w:suppressAutoHyphens/>
        <w:spacing w:before="130" w:line="260" w:lineRule="exact"/>
        <w:ind w:firstLine="539"/>
        <w:rPr>
          <w:rFonts w:ascii="Cambria" w:eastAsia="Arial" w:hAnsi="Cambria"/>
          <w:b/>
          <w:bCs/>
          <w:sz w:val="19"/>
          <w:szCs w:val="24"/>
        </w:rPr>
      </w:pPr>
      <w:r w:rsidRPr="00677363">
        <w:rPr>
          <w:rFonts w:ascii="Cambria" w:eastAsia="Arial" w:hAnsi="Cambria"/>
          <w:b/>
          <w:bCs/>
          <w:sz w:val="19"/>
          <w:szCs w:val="24"/>
        </w:rPr>
        <w:t>Datu subjekta tiesības</w:t>
      </w:r>
    </w:p>
    <w:p w14:paraId="13A2F537" w14:textId="77777777" w:rsidR="00EE7E40" w:rsidRPr="00677363" w:rsidRDefault="00EE7E40" w:rsidP="00EE7E40">
      <w:pPr>
        <w:suppressAutoHyphens/>
        <w:spacing w:before="130" w:line="260" w:lineRule="exact"/>
        <w:ind w:firstLine="539"/>
        <w:jc w:val="both"/>
        <w:rPr>
          <w:rFonts w:ascii="Cambria" w:eastAsia="Arial" w:hAnsi="Cambria"/>
          <w:sz w:val="19"/>
          <w:szCs w:val="24"/>
        </w:rPr>
      </w:pPr>
      <w:r w:rsidRPr="00677363">
        <w:rPr>
          <w:rFonts w:ascii="Cambria" w:eastAsia="Arial" w:hAnsi="Cambria"/>
          <w:sz w:val="19"/>
          <w:szCs w:val="24"/>
        </w:rPr>
        <w:t>Personai (datu subjektam, kura datu apstrādi veic Latvijas Banka) ir tiesības vērsties Latvijas Bankā, lai saņemtu informāciju par sevi un savu iesniegto personas datu apstrādi atbilstoši datu apstrādes mērķim, kā arī tiesības labot savus datus.</w:t>
      </w:r>
    </w:p>
    <w:p w14:paraId="6DA5ED49" w14:textId="77777777" w:rsidR="00EE7E40" w:rsidRPr="00677363" w:rsidRDefault="00EE7E40" w:rsidP="00EE7E40">
      <w:pPr>
        <w:suppressAutoHyphens/>
        <w:spacing w:before="130" w:line="260" w:lineRule="exact"/>
        <w:ind w:firstLine="539"/>
        <w:rPr>
          <w:rFonts w:ascii="Cambria" w:eastAsia="Arial" w:hAnsi="Cambria"/>
          <w:b/>
          <w:bCs/>
          <w:sz w:val="19"/>
          <w:szCs w:val="24"/>
        </w:rPr>
      </w:pPr>
      <w:r w:rsidRPr="00677363">
        <w:rPr>
          <w:rFonts w:ascii="Cambria" w:eastAsia="Arial" w:hAnsi="Cambria"/>
          <w:b/>
          <w:bCs/>
          <w:sz w:val="19"/>
          <w:szCs w:val="24"/>
        </w:rPr>
        <w:t>Kontakti</w:t>
      </w:r>
    </w:p>
    <w:p w14:paraId="118CED1A" w14:textId="3781774B" w:rsidR="00EE7E40" w:rsidRDefault="00EE7E40" w:rsidP="00EE7E40">
      <w:pPr>
        <w:suppressAutoHyphens/>
        <w:spacing w:before="130" w:line="260" w:lineRule="exact"/>
        <w:ind w:firstLine="539"/>
        <w:jc w:val="both"/>
        <w:rPr>
          <w:rFonts w:ascii="Cambria" w:eastAsia="Arial" w:hAnsi="Cambria"/>
          <w:sz w:val="19"/>
          <w:szCs w:val="24"/>
        </w:rPr>
      </w:pPr>
      <w:r w:rsidRPr="00677363">
        <w:rPr>
          <w:rFonts w:ascii="Cambria" w:eastAsia="Arial" w:hAnsi="Cambria"/>
          <w:sz w:val="19"/>
          <w:szCs w:val="24"/>
        </w:rPr>
        <w:t xml:space="preserve">Ja personai (datu subjektam, kura datu apstrādi veic Latvijas Banka) rodas jautājumi vai sūdzības par personas datu apstrādes procesu, tā ir tiesīga vērsties Latvijas Bankā (e-pasts: </w:t>
      </w:r>
      <w:hyperlink r:id="rId6" w:history="1">
        <w:r w:rsidR="00CD3634" w:rsidRPr="00974A02">
          <w:rPr>
            <w:rStyle w:val="Hyperlink"/>
            <w:rFonts w:ascii="Cambria" w:eastAsia="Arial" w:hAnsi="Cambria"/>
            <w:sz w:val="19"/>
            <w:szCs w:val="24"/>
          </w:rPr>
          <w:t>datuaizsardziba@bank.lv</w:t>
        </w:r>
      </w:hyperlink>
      <w:r w:rsidRPr="00677363">
        <w:rPr>
          <w:rFonts w:ascii="Cambria" w:eastAsia="Arial" w:hAnsi="Cambria"/>
          <w:sz w:val="19"/>
          <w:szCs w:val="24"/>
        </w:rPr>
        <w:t>)</w:t>
      </w:r>
      <w:r w:rsidR="00CD3634">
        <w:rPr>
          <w:rFonts w:ascii="Cambria" w:eastAsia="Arial" w:hAnsi="Cambria"/>
          <w:sz w:val="19"/>
          <w:szCs w:val="24"/>
        </w:rPr>
        <w:t xml:space="preserve"> </w:t>
      </w:r>
      <w:r w:rsidR="00CD3634" w:rsidRPr="00CD3634">
        <w:rPr>
          <w:rFonts w:ascii="Cambria" w:eastAsia="Arial" w:hAnsi="Cambria"/>
          <w:sz w:val="19"/>
          <w:szCs w:val="24"/>
        </w:rPr>
        <w:t>vai Datu valsts inspekcijā (kontaktinformācija: www.dvi.gov.lv)</w:t>
      </w:r>
      <w:r w:rsidRPr="00677363">
        <w:rPr>
          <w:rFonts w:ascii="Cambria" w:eastAsia="Arial" w:hAnsi="Cambria"/>
          <w:sz w:val="19"/>
          <w:szCs w:val="24"/>
        </w:rPr>
        <w:t>.</w:t>
      </w:r>
    </w:p>
    <w:p w14:paraId="6670C15B" w14:textId="77777777" w:rsidR="00EE7E40" w:rsidRPr="00677363" w:rsidRDefault="00EE7E40" w:rsidP="00EE7E40">
      <w:pPr>
        <w:suppressAutoHyphens/>
        <w:spacing w:before="130" w:line="260" w:lineRule="exact"/>
        <w:ind w:firstLine="539"/>
        <w:jc w:val="both"/>
        <w:rPr>
          <w:rFonts w:ascii="Cambria" w:eastAsia="Arial" w:hAnsi="Cambria"/>
          <w:sz w:val="19"/>
          <w:szCs w:val="24"/>
        </w:rPr>
      </w:pPr>
    </w:p>
    <w:p w14:paraId="0EB6A1C5" w14:textId="77777777" w:rsidR="00EE7E40" w:rsidRPr="00677363" w:rsidRDefault="00EE7E40" w:rsidP="00EE7E40">
      <w:pPr>
        <w:suppressAutoHyphens/>
        <w:spacing w:before="130" w:line="260" w:lineRule="exact"/>
        <w:jc w:val="center"/>
        <w:rPr>
          <w:rFonts w:ascii="Cambria" w:eastAsia="Arial" w:hAnsi="Cambria"/>
          <w:b/>
          <w:bCs/>
          <w:sz w:val="19"/>
          <w:szCs w:val="24"/>
        </w:rPr>
      </w:pPr>
      <w:r w:rsidRPr="00677363">
        <w:rPr>
          <w:rFonts w:ascii="Cambria" w:eastAsia="Arial" w:hAnsi="Cambria"/>
          <w:b/>
          <w:bCs/>
          <w:sz w:val="19"/>
          <w:szCs w:val="24"/>
        </w:rPr>
        <w:t>Apliecinājums</w:t>
      </w:r>
    </w:p>
    <w:p w14:paraId="0F68B0A7" w14:textId="77777777" w:rsidR="00EE7E40" w:rsidRPr="00677363" w:rsidRDefault="00EE7E40" w:rsidP="00EE7E40">
      <w:pPr>
        <w:suppressAutoHyphens/>
        <w:spacing w:before="130" w:line="260" w:lineRule="exact"/>
        <w:ind w:firstLine="539"/>
        <w:jc w:val="both"/>
        <w:outlineLvl w:val="0"/>
        <w:rPr>
          <w:rFonts w:ascii="Cambria" w:hAnsi="Cambria"/>
          <w:sz w:val="19"/>
          <w:szCs w:val="24"/>
        </w:rPr>
      </w:pPr>
      <w:r w:rsidRPr="00677363">
        <w:rPr>
          <w:rFonts w:ascii="Cambria" w:hAnsi="Cambria"/>
          <w:sz w:val="19"/>
          <w:szCs w:val="24"/>
        </w:rPr>
        <w:t>Ar šo apliecinu, ka esmu inform</w:t>
      </w:r>
      <w:r w:rsidRPr="00677363">
        <w:rPr>
          <w:rFonts w:ascii="Cambria" w:hAnsi="Cambria" w:hint="eastAsia"/>
          <w:sz w:val="19"/>
          <w:szCs w:val="24"/>
        </w:rPr>
        <w:t>ē</w:t>
      </w:r>
      <w:r w:rsidRPr="00677363">
        <w:rPr>
          <w:rFonts w:ascii="Cambria" w:hAnsi="Cambria"/>
          <w:sz w:val="19"/>
          <w:szCs w:val="24"/>
        </w:rPr>
        <w:t>ts, ka, pamatojoties uz normat</w:t>
      </w:r>
      <w:r w:rsidRPr="00677363">
        <w:rPr>
          <w:rFonts w:ascii="Cambria" w:hAnsi="Cambria" w:hint="eastAsia"/>
          <w:sz w:val="19"/>
          <w:szCs w:val="24"/>
        </w:rPr>
        <w:t>ī</w:t>
      </w:r>
      <w:r w:rsidRPr="00677363">
        <w:rPr>
          <w:rFonts w:ascii="Cambria" w:hAnsi="Cambria"/>
          <w:sz w:val="19"/>
          <w:szCs w:val="24"/>
        </w:rPr>
        <w:t>vo aktu pras</w:t>
      </w:r>
      <w:r w:rsidRPr="00677363">
        <w:rPr>
          <w:rFonts w:ascii="Cambria" w:hAnsi="Cambria" w:hint="eastAsia"/>
          <w:sz w:val="19"/>
          <w:szCs w:val="24"/>
        </w:rPr>
        <w:t>ī</w:t>
      </w:r>
      <w:r w:rsidRPr="00677363">
        <w:rPr>
          <w:rFonts w:ascii="Cambria" w:hAnsi="Cambria"/>
          <w:sz w:val="19"/>
          <w:szCs w:val="24"/>
        </w:rPr>
        <w:t>b</w:t>
      </w:r>
      <w:r w:rsidRPr="00677363">
        <w:rPr>
          <w:rFonts w:ascii="Cambria" w:hAnsi="Cambria" w:hint="eastAsia"/>
          <w:sz w:val="19"/>
          <w:szCs w:val="24"/>
        </w:rPr>
        <w:t>ā</w:t>
      </w:r>
      <w:r w:rsidRPr="00677363">
        <w:rPr>
          <w:rFonts w:ascii="Cambria" w:hAnsi="Cambria"/>
          <w:sz w:val="19"/>
          <w:szCs w:val="24"/>
        </w:rPr>
        <w:t>m (piem</w:t>
      </w:r>
      <w:r w:rsidRPr="00677363">
        <w:rPr>
          <w:rFonts w:ascii="Cambria" w:hAnsi="Cambria" w:hint="eastAsia"/>
          <w:sz w:val="19"/>
          <w:szCs w:val="24"/>
        </w:rPr>
        <w:t>ē</w:t>
      </w:r>
      <w:r w:rsidRPr="00677363">
        <w:rPr>
          <w:rFonts w:ascii="Cambria" w:hAnsi="Cambria"/>
          <w:sz w:val="19"/>
          <w:szCs w:val="24"/>
        </w:rPr>
        <w:t>ram, Maks</w:t>
      </w:r>
      <w:r w:rsidRPr="00677363">
        <w:rPr>
          <w:rFonts w:ascii="Cambria" w:hAnsi="Cambria" w:hint="eastAsia"/>
          <w:sz w:val="19"/>
          <w:szCs w:val="24"/>
        </w:rPr>
        <w:t>ā</w:t>
      </w:r>
      <w:r w:rsidRPr="00677363">
        <w:rPr>
          <w:rFonts w:ascii="Cambria" w:hAnsi="Cambria"/>
          <w:sz w:val="19"/>
          <w:szCs w:val="24"/>
        </w:rPr>
        <w:t>jumu pakalpojumu un elektronisk</w:t>
      </w:r>
      <w:r w:rsidRPr="00677363">
        <w:rPr>
          <w:rFonts w:ascii="Cambria" w:hAnsi="Cambria" w:hint="eastAsia"/>
          <w:sz w:val="19"/>
          <w:szCs w:val="24"/>
        </w:rPr>
        <w:t>ā</w:t>
      </w:r>
      <w:r w:rsidRPr="00677363">
        <w:rPr>
          <w:rFonts w:ascii="Cambria" w:hAnsi="Cambria"/>
          <w:sz w:val="19"/>
          <w:szCs w:val="24"/>
        </w:rPr>
        <w:t>s naudas likuma 26.</w:t>
      </w:r>
      <w:r w:rsidRPr="00677363">
        <w:rPr>
          <w:rFonts w:ascii="Cambria" w:hAnsi="Cambria"/>
          <w:sz w:val="19"/>
          <w:szCs w:val="24"/>
          <w:vertAlign w:val="superscript"/>
        </w:rPr>
        <w:t>3</w:t>
      </w:r>
      <w:r w:rsidRPr="00677363">
        <w:rPr>
          <w:rFonts w:ascii="Cambria" w:hAnsi="Cambria"/>
          <w:sz w:val="19"/>
          <w:szCs w:val="24"/>
        </w:rPr>
        <w:t> pantu), Latvijas Banka savas kompetences ietvaros sa</w:t>
      </w:r>
      <w:r w:rsidRPr="00677363">
        <w:rPr>
          <w:rFonts w:ascii="Cambria" w:hAnsi="Cambria" w:hint="eastAsia"/>
          <w:sz w:val="19"/>
          <w:szCs w:val="24"/>
        </w:rPr>
        <w:t>ņ</w:t>
      </w:r>
      <w:r w:rsidRPr="00677363">
        <w:rPr>
          <w:rFonts w:ascii="Cambria" w:hAnsi="Cambria"/>
          <w:sz w:val="19"/>
          <w:szCs w:val="24"/>
        </w:rPr>
        <w:t>em un apstr</w:t>
      </w:r>
      <w:r w:rsidRPr="00677363">
        <w:rPr>
          <w:rFonts w:ascii="Cambria" w:hAnsi="Cambria" w:hint="eastAsia"/>
          <w:sz w:val="19"/>
          <w:szCs w:val="24"/>
        </w:rPr>
        <w:t>ā</w:t>
      </w:r>
      <w:r w:rsidRPr="00677363">
        <w:rPr>
          <w:rFonts w:ascii="Cambria" w:hAnsi="Cambria"/>
          <w:sz w:val="19"/>
          <w:szCs w:val="24"/>
        </w:rPr>
        <w:t>d</w:t>
      </w:r>
      <w:r w:rsidRPr="00677363">
        <w:rPr>
          <w:rFonts w:ascii="Cambria" w:hAnsi="Cambria" w:hint="eastAsia"/>
          <w:sz w:val="19"/>
          <w:szCs w:val="24"/>
        </w:rPr>
        <w:t>ā</w:t>
      </w:r>
      <w:r w:rsidRPr="00677363">
        <w:rPr>
          <w:rFonts w:ascii="Cambria" w:hAnsi="Cambria"/>
          <w:sz w:val="19"/>
          <w:szCs w:val="24"/>
        </w:rPr>
        <w:t xml:space="preserve"> iesniegtos manus k</w:t>
      </w:r>
      <w:r w:rsidRPr="00677363">
        <w:rPr>
          <w:rFonts w:ascii="Cambria" w:hAnsi="Cambria" w:hint="eastAsia"/>
          <w:sz w:val="19"/>
          <w:szCs w:val="24"/>
        </w:rPr>
        <w:t>ā</w:t>
      </w:r>
      <w:r w:rsidRPr="00677363">
        <w:rPr>
          <w:rFonts w:ascii="Cambria" w:hAnsi="Cambria"/>
          <w:sz w:val="19"/>
          <w:szCs w:val="24"/>
        </w:rPr>
        <w:t xml:space="preserve"> fizisk</w:t>
      </w:r>
      <w:r w:rsidRPr="00677363">
        <w:rPr>
          <w:rFonts w:ascii="Cambria" w:hAnsi="Cambria" w:hint="eastAsia"/>
          <w:sz w:val="19"/>
          <w:szCs w:val="24"/>
        </w:rPr>
        <w:t>ā</w:t>
      </w:r>
      <w:r w:rsidRPr="00677363">
        <w:rPr>
          <w:rFonts w:ascii="Cambria" w:hAnsi="Cambria"/>
          <w:sz w:val="19"/>
          <w:szCs w:val="24"/>
        </w:rPr>
        <w:t>s personas datus, tai skait</w:t>
      </w:r>
      <w:r w:rsidRPr="00677363">
        <w:rPr>
          <w:rFonts w:ascii="Cambria" w:hAnsi="Cambria" w:hint="eastAsia"/>
          <w:sz w:val="19"/>
          <w:szCs w:val="24"/>
        </w:rPr>
        <w:t>ā</w:t>
      </w:r>
      <w:r w:rsidRPr="00677363">
        <w:rPr>
          <w:rFonts w:ascii="Cambria" w:hAnsi="Cambria"/>
          <w:sz w:val="19"/>
          <w:szCs w:val="24"/>
        </w:rPr>
        <w:t xml:space="preserve"> datus par sodāmību. Esmu informēts, ka mani personas dati var tikt izpausti šaj</w:t>
      </w:r>
      <w:r w:rsidRPr="00677363">
        <w:rPr>
          <w:rFonts w:ascii="Cambria" w:hAnsi="Cambria" w:hint="eastAsia"/>
          <w:sz w:val="19"/>
          <w:szCs w:val="24"/>
        </w:rPr>
        <w:t>ā</w:t>
      </w:r>
      <w:r w:rsidRPr="00677363">
        <w:rPr>
          <w:rFonts w:ascii="Cambria" w:hAnsi="Cambria"/>
          <w:sz w:val="19"/>
          <w:szCs w:val="24"/>
        </w:rPr>
        <w:t xml:space="preserve"> apliecin</w:t>
      </w:r>
      <w:r w:rsidRPr="00677363">
        <w:rPr>
          <w:rFonts w:ascii="Cambria" w:hAnsi="Cambria" w:hint="eastAsia"/>
          <w:sz w:val="19"/>
          <w:szCs w:val="24"/>
        </w:rPr>
        <w:t>ā</w:t>
      </w:r>
      <w:r w:rsidRPr="00677363">
        <w:rPr>
          <w:rFonts w:ascii="Cambria" w:hAnsi="Cambria"/>
          <w:sz w:val="19"/>
          <w:szCs w:val="24"/>
        </w:rPr>
        <w:t>jum</w:t>
      </w:r>
      <w:r w:rsidRPr="00677363">
        <w:rPr>
          <w:rFonts w:ascii="Cambria" w:hAnsi="Cambria" w:hint="eastAsia"/>
          <w:sz w:val="19"/>
          <w:szCs w:val="24"/>
        </w:rPr>
        <w:t>ā</w:t>
      </w:r>
      <w:r w:rsidRPr="00677363">
        <w:rPr>
          <w:rFonts w:ascii="Cambria" w:hAnsi="Cambria"/>
          <w:sz w:val="19"/>
          <w:szCs w:val="24"/>
        </w:rPr>
        <w:t xml:space="preserve"> nor</w:t>
      </w:r>
      <w:r w:rsidRPr="00677363">
        <w:rPr>
          <w:rFonts w:ascii="Cambria" w:hAnsi="Cambria" w:hint="eastAsia"/>
          <w:sz w:val="19"/>
          <w:szCs w:val="24"/>
        </w:rPr>
        <w:t>ā</w:t>
      </w:r>
      <w:r w:rsidRPr="00677363">
        <w:rPr>
          <w:rFonts w:ascii="Cambria" w:hAnsi="Cambria"/>
          <w:sz w:val="19"/>
          <w:szCs w:val="24"/>
        </w:rPr>
        <w:t>d</w:t>
      </w:r>
      <w:r w:rsidRPr="00677363">
        <w:rPr>
          <w:rFonts w:ascii="Cambria" w:hAnsi="Cambria" w:hint="eastAsia"/>
          <w:sz w:val="19"/>
          <w:szCs w:val="24"/>
        </w:rPr>
        <w:t>ī</w:t>
      </w:r>
      <w:r w:rsidRPr="00677363">
        <w:rPr>
          <w:rFonts w:ascii="Cambria" w:hAnsi="Cambria"/>
          <w:sz w:val="19"/>
          <w:szCs w:val="24"/>
        </w:rPr>
        <w:t>tajos gad</w:t>
      </w:r>
      <w:r w:rsidRPr="00677363">
        <w:rPr>
          <w:rFonts w:ascii="Cambria" w:hAnsi="Cambria" w:hint="eastAsia"/>
          <w:sz w:val="19"/>
          <w:szCs w:val="24"/>
        </w:rPr>
        <w:t>ī</w:t>
      </w:r>
      <w:r w:rsidRPr="00677363">
        <w:rPr>
          <w:rFonts w:ascii="Cambria" w:hAnsi="Cambria"/>
          <w:sz w:val="19"/>
          <w:szCs w:val="24"/>
        </w:rPr>
        <w:t>jumos.</w:t>
      </w:r>
    </w:p>
    <w:tbl>
      <w:tblPr>
        <w:tblW w:w="5000" w:type="pct"/>
        <w:tblBorders>
          <w:top w:val="none" w:sz="0" w:space="0" w:color="414142"/>
          <w:left w:val="none" w:sz="0" w:space="0" w:color="414142"/>
          <w:bottom w:val="none" w:sz="0" w:space="0" w:color="414142"/>
          <w:right w:val="none" w:sz="0" w:space="0" w:color="414142"/>
          <w:insideH w:val="single" w:sz="4" w:space="0" w:color="auto"/>
          <w:insideV w:val="single" w:sz="4" w:space="0" w:color="auto"/>
        </w:tblBorders>
        <w:tblCellMar>
          <w:top w:w="28" w:type="dxa"/>
          <w:left w:w="28" w:type="dxa"/>
          <w:bottom w:w="28" w:type="dxa"/>
          <w:right w:w="28" w:type="dxa"/>
        </w:tblCellMar>
        <w:tblLook w:val="06A0" w:firstRow="1" w:lastRow="0" w:firstColumn="1" w:lastColumn="0" w:noHBand="1" w:noVBand="1"/>
      </w:tblPr>
      <w:tblGrid>
        <w:gridCol w:w="1657"/>
        <w:gridCol w:w="6983"/>
      </w:tblGrid>
      <w:tr w:rsidR="00EE7E40" w:rsidRPr="00D252F1" w14:paraId="130BD338" w14:textId="77777777" w:rsidTr="004D0482">
        <w:tc>
          <w:tcPr>
            <w:tcW w:w="1631" w:type="dxa"/>
            <w:tcBorders>
              <w:top w:val="nil"/>
              <w:left w:val="nil"/>
              <w:bottom w:val="nil"/>
              <w:right w:val="nil"/>
            </w:tcBorders>
          </w:tcPr>
          <w:p w14:paraId="3E4D9EFB" w14:textId="77777777" w:rsidR="00EE7E40" w:rsidRPr="00D252F1" w:rsidRDefault="00EE7E40" w:rsidP="004D0482">
            <w:pPr>
              <w:pageBreakBefore/>
              <w:suppressAutoHyphens/>
              <w:jc w:val="both"/>
              <w:rPr>
                <w:rFonts w:ascii="Cambria" w:hAnsi="Cambria"/>
                <w:sz w:val="19"/>
                <w:szCs w:val="24"/>
              </w:rPr>
            </w:pPr>
            <w:r w:rsidRPr="00D252F1">
              <w:rPr>
                <w:rFonts w:ascii="Cambria" w:hAnsi="Cambria"/>
                <w:sz w:val="19"/>
                <w:szCs w:val="24"/>
              </w:rPr>
              <w:lastRenderedPageBreak/>
              <w:t>Vārds, uzvārds</w:t>
            </w:r>
          </w:p>
        </w:tc>
        <w:tc>
          <w:tcPr>
            <w:tcW w:w="6873" w:type="dxa"/>
            <w:tcBorders>
              <w:top w:val="nil"/>
              <w:left w:val="nil"/>
              <w:bottom w:val="single" w:sz="4" w:space="0" w:color="414142"/>
              <w:right w:val="nil"/>
            </w:tcBorders>
          </w:tcPr>
          <w:p w14:paraId="42D8D262" w14:textId="77777777" w:rsidR="00EE7E40" w:rsidRPr="00D252F1" w:rsidRDefault="00EE7E40" w:rsidP="004D0482">
            <w:pPr>
              <w:suppressAutoHyphens/>
              <w:jc w:val="both"/>
              <w:rPr>
                <w:rFonts w:ascii="Cambria" w:hAnsi="Cambria"/>
                <w:sz w:val="19"/>
                <w:szCs w:val="24"/>
              </w:rPr>
            </w:pPr>
          </w:p>
        </w:tc>
      </w:tr>
      <w:tr w:rsidR="00EE7E40" w:rsidRPr="00D252F1" w14:paraId="7AD6B432" w14:textId="77777777" w:rsidTr="004D0482">
        <w:tc>
          <w:tcPr>
            <w:tcW w:w="1631" w:type="dxa"/>
            <w:tcBorders>
              <w:top w:val="nil"/>
              <w:left w:val="nil"/>
              <w:bottom w:val="nil"/>
              <w:right w:val="nil"/>
            </w:tcBorders>
          </w:tcPr>
          <w:p w14:paraId="47B2C81C" w14:textId="77777777" w:rsidR="00EE7E40" w:rsidRPr="00D252F1" w:rsidRDefault="00EE7E40" w:rsidP="004D0482">
            <w:pPr>
              <w:suppressAutoHyphens/>
              <w:jc w:val="both"/>
              <w:rPr>
                <w:rFonts w:ascii="Cambria" w:hAnsi="Cambria"/>
                <w:sz w:val="19"/>
                <w:szCs w:val="24"/>
              </w:rPr>
            </w:pPr>
            <w:r w:rsidRPr="00D252F1">
              <w:rPr>
                <w:rFonts w:ascii="Cambria" w:hAnsi="Cambria"/>
                <w:sz w:val="19"/>
                <w:szCs w:val="24"/>
              </w:rPr>
              <w:t>Paraksts</w:t>
            </w:r>
          </w:p>
        </w:tc>
        <w:tc>
          <w:tcPr>
            <w:tcW w:w="6873" w:type="dxa"/>
            <w:tcBorders>
              <w:top w:val="single" w:sz="4" w:space="0" w:color="414142"/>
              <w:left w:val="nil"/>
              <w:bottom w:val="single" w:sz="4" w:space="0" w:color="414142"/>
              <w:right w:val="nil"/>
            </w:tcBorders>
          </w:tcPr>
          <w:p w14:paraId="30B3BFED" w14:textId="77777777" w:rsidR="00EE7E40" w:rsidRPr="00D252F1" w:rsidRDefault="00EE7E40" w:rsidP="004D0482">
            <w:pPr>
              <w:suppressAutoHyphens/>
              <w:jc w:val="both"/>
              <w:rPr>
                <w:rFonts w:ascii="Cambria" w:hAnsi="Cambria"/>
                <w:sz w:val="19"/>
                <w:szCs w:val="24"/>
              </w:rPr>
            </w:pPr>
          </w:p>
        </w:tc>
      </w:tr>
      <w:tr w:rsidR="00EE7E40" w:rsidRPr="00D252F1" w14:paraId="183D3DD2" w14:textId="77777777" w:rsidTr="004D0482">
        <w:tc>
          <w:tcPr>
            <w:tcW w:w="1631" w:type="dxa"/>
            <w:tcBorders>
              <w:top w:val="nil"/>
              <w:left w:val="nil"/>
              <w:bottom w:val="nil"/>
              <w:right w:val="nil"/>
            </w:tcBorders>
          </w:tcPr>
          <w:p w14:paraId="19CBDED9" w14:textId="77777777" w:rsidR="00EE7E40" w:rsidRPr="00D252F1" w:rsidRDefault="00EE7E40" w:rsidP="004D0482">
            <w:pPr>
              <w:suppressAutoHyphens/>
              <w:jc w:val="both"/>
              <w:rPr>
                <w:rFonts w:ascii="Cambria" w:hAnsi="Cambria"/>
                <w:sz w:val="19"/>
                <w:szCs w:val="24"/>
              </w:rPr>
            </w:pPr>
            <w:r w:rsidRPr="00D252F1">
              <w:rPr>
                <w:rFonts w:ascii="Cambria" w:hAnsi="Cambria"/>
                <w:sz w:val="19"/>
                <w:szCs w:val="24"/>
              </w:rPr>
              <w:t>Vieta, datums</w:t>
            </w:r>
          </w:p>
        </w:tc>
        <w:tc>
          <w:tcPr>
            <w:tcW w:w="6873" w:type="dxa"/>
            <w:tcBorders>
              <w:top w:val="single" w:sz="4" w:space="0" w:color="414142"/>
              <w:left w:val="nil"/>
              <w:bottom w:val="single" w:sz="4" w:space="0" w:color="414142"/>
              <w:right w:val="nil"/>
            </w:tcBorders>
          </w:tcPr>
          <w:p w14:paraId="3D30E7E6" w14:textId="77777777" w:rsidR="00EE7E40" w:rsidRPr="00D252F1" w:rsidRDefault="00EE7E40" w:rsidP="004D0482">
            <w:pPr>
              <w:suppressAutoHyphens/>
              <w:jc w:val="both"/>
              <w:rPr>
                <w:rFonts w:ascii="Cambria" w:hAnsi="Cambria"/>
                <w:sz w:val="19"/>
                <w:szCs w:val="24"/>
              </w:rPr>
            </w:pPr>
          </w:p>
        </w:tc>
      </w:tr>
    </w:tbl>
    <w:p w14:paraId="00795DE9" w14:textId="77777777" w:rsidR="00EE7E40" w:rsidRPr="00D252F1" w:rsidRDefault="00EE7E40" w:rsidP="00EE7E40">
      <w:pPr>
        <w:suppressAutoHyphens/>
        <w:spacing w:before="130" w:line="260" w:lineRule="exact"/>
        <w:ind w:firstLine="539"/>
        <w:jc w:val="both"/>
        <w:rPr>
          <w:rFonts w:ascii="Cambria" w:eastAsia="Arial" w:hAnsi="Cambria"/>
          <w:i/>
          <w:iCs/>
          <w:sz w:val="17"/>
          <w:szCs w:val="17"/>
        </w:rPr>
      </w:pPr>
      <w:r w:rsidRPr="00D252F1">
        <w:rPr>
          <w:rFonts w:ascii="Cambria" w:eastAsia="Arial" w:hAnsi="Cambria"/>
          <w:i/>
          <w:iCs/>
          <w:sz w:val="17"/>
          <w:szCs w:val="17"/>
        </w:rPr>
        <w:t>Piezīme. Šo dokumentu katra iesaistītā fiziskā persona paraksta atsevišķi.</w:t>
      </w:r>
    </w:p>
    <w:p w14:paraId="25987AB6" w14:textId="77777777" w:rsidR="009523E0" w:rsidRDefault="009523E0"/>
    <w:sectPr w:rsidR="009523E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5D621" w14:textId="77777777" w:rsidR="00A13726" w:rsidRDefault="00A13726" w:rsidP="00EE7E40">
      <w:r>
        <w:separator/>
      </w:r>
    </w:p>
  </w:endnote>
  <w:endnote w:type="continuationSeparator" w:id="0">
    <w:p w14:paraId="7DBB05A4" w14:textId="77777777" w:rsidR="00A13726" w:rsidRDefault="00A13726" w:rsidP="00EE7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F3A79" w14:textId="77777777" w:rsidR="00A13726" w:rsidRDefault="00A13726" w:rsidP="00EE7E40">
      <w:r>
        <w:separator/>
      </w:r>
    </w:p>
  </w:footnote>
  <w:footnote w:type="continuationSeparator" w:id="0">
    <w:p w14:paraId="78AEC3E0" w14:textId="77777777" w:rsidR="00A13726" w:rsidRDefault="00A13726" w:rsidP="00EE7E40">
      <w:r>
        <w:continuationSeparator/>
      </w:r>
    </w:p>
  </w:footnote>
  <w:footnote w:id="1">
    <w:p w14:paraId="4B146519" w14:textId="77777777" w:rsidR="00EE7E40" w:rsidRPr="00D252F1" w:rsidRDefault="00EE7E40" w:rsidP="00EE7E40">
      <w:pPr>
        <w:widowControl w:val="0"/>
        <w:jc w:val="both"/>
        <w:rPr>
          <w:rFonts w:ascii="Cambria" w:hAnsi="Cambria" w:cs="Times New Roman"/>
          <w:bCs/>
          <w:color w:val="000000"/>
          <w:sz w:val="16"/>
          <w:szCs w:val="16"/>
        </w:rPr>
      </w:pPr>
      <w:r w:rsidRPr="00D252F1">
        <w:rPr>
          <w:rStyle w:val="FootnoteReference"/>
          <w:rFonts w:ascii="Cambria" w:hAnsi="Cambria" w:cs="Times New Roman"/>
          <w:sz w:val="16"/>
          <w:szCs w:val="16"/>
        </w:rPr>
        <w:t>*</w:t>
      </w:r>
      <w:r w:rsidRPr="00D252F1">
        <w:rPr>
          <w:rFonts w:ascii="Cambria" w:hAnsi="Cambria" w:cs="Times New Roman"/>
          <w:sz w:val="16"/>
          <w:szCs w:val="16"/>
        </w:rPr>
        <w:t xml:space="preserve"> Eiropas Parlamenta un Padomes 2016. gada 27. aprīļa Regula Nr. 2016/679 </w:t>
      </w:r>
      <w:r w:rsidRPr="00D252F1">
        <w:rPr>
          <w:rFonts w:ascii="Cambria" w:hAnsi="Cambria" w:cs="Times New Roman"/>
          <w:bCs/>
          <w:color w:val="000000"/>
          <w:sz w:val="16"/>
          <w:szCs w:val="16"/>
        </w:rPr>
        <w:t>par fizisku personu aizsardzību attiecībā uz personas datu apstrādi un šādu datu brīvu apriti un ar ko atceļ Direktīvu 95/46/EK.</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E40"/>
    <w:rsid w:val="009523E0"/>
    <w:rsid w:val="00A13726"/>
    <w:rsid w:val="00CD3634"/>
    <w:rsid w:val="00E622CD"/>
    <w:rsid w:val="00EE7E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8B6C9"/>
  <w15:chartTrackingRefBased/>
  <w15:docId w15:val="{881842B2-B504-4336-AAD2-7ED08976F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E40"/>
    <w:pPr>
      <w:spacing w:after="0" w:line="240" w:lineRule="auto"/>
    </w:pPr>
    <w:rPr>
      <w:rFonts w:ascii="Times New Roman" w:eastAsia="Times New Roman" w:hAnsi="Times New Roman" w:cs="Mangal"/>
      <w:sz w:val="24"/>
      <w:lang w:val="lv-LV" w:eastAsia="lv-LV"/>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emiHidden/>
    <w:unhideWhenUsed/>
    <w:rsid w:val="00EE7E40"/>
    <w:rPr>
      <w:vertAlign w:val="superscript"/>
    </w:rPr>
  </w:style>
  <w:style w:type="character" w:styleId="Hyperlink">
    <w:name w:val="Hyperlink"/>
    <w:basedOn w:val="DefaultParagraphFont"/>
    <w:uiPriority w:val="99"/>
    <w:unhideWhenUsed/>
    <w:rsid w:val="00CD3634"/>
    <w:rPr>
      <w:color w:val="0563C1" w:themeColor="hyperlink"/>
      <w:u w:val="single"/>
    </w:rPr>
  </w:style>
  <w:style w:type="character" w:styleId="UnresolvedMention">
    <w:name w:val="Unresolved Mention"/>
    <w:basedOn w:val="DefaultParagraphFont"/>
    <w:uiPriority w:val="99"/>
    <w:semiHidden/>
    <w:unhideWhenUsed/>
    <w:rsid w:val="00CD36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atuaizsardziba@bank.lv"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391</Words>
  <Characters>2232</Characters>
  <Application>Microsoft Office Word</Application>
  <DocSecurity>0</DocSecurity>
  <Lines>18</Lines>
  <Paragraphs>5</Paragraphs>
  <ScaleCrop>false</ScaleCrop>
  <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Agnese Upīte</cp:lastModifiedBy>
  <cp:revision>2</cp:revision>
  <dcterms:created xsi:type="dcterms:W3CDTF">2022-10-04T06:07:00Z</dcterms:created>
  <dcterms:modified xsi:type="dcterms:W3CDTF">2026-04-23T05:55:00Z</dcterms:modified>
</cp:coreProperties>
</file>