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E" w:rsidRPr="00C70D38" w:rsidRDefault="006362DE" w:rsidP="006362DE">
      <w:pPr>
        <w:spacing w:before="130" w:after="0" w:line="260" w:lineRule="exact"/>
        <w:ind w:firstLine="539"/>
        <w:jc w:val="right"/>
        <w:rPr>
          <w:rFonts w:ascii="Cambria" w:eastAsia="Times New Roman" w:hAnsi="Cambria"/>
          <w:bCs/>
          <w:noProof/>
          <w:sz w:val="19"/>
          <w:szCs w:val="19"/>
          <w:lang w:eastAsia="lv-LV"/>
        </w:rPr>
      </w:pPr>
      <w:bookmarkStart w:id="0" w:name="_GoBack"/>
      <w:bookmarkEnd w:id="0"/>
      <w:r w:rsidRPr="00C70D38">
        <w:rPr>
          <w:rFonts w:ascii="Cambria" w:eastAsia="Times New Roman" w:hAnsi="Cambria"/>
          <w:bCs/>
          <w:noProof/>
          <w:sz w:val="19"/>
          <w:szCs w:val="19"/>
          <w:lang w:eastAsia="lv-LV"/>
        </w:rPr>
        <w:t>Pielikums</w:t>
      </w:r>
      <w:r w:rsidRPr="00C70D38">
        <w:rPr>
          <w:rFonts w:ascii="Cambria" w:eastAsia="Times New Roman" w:hAnsi="Cambria"/>
          <w:bCs/>
          <w:noProof/>
          <w:sz w:val="19"/>
          <w:szCs w:val="19"/>
          <w:lang w:eastAsia="lv-LV"/>
        </w:rPr>
        <w:br/>
        <w:t>Finanšu un kapitāla tirgus komisijas</w:t>
      </w:r>
      <w:r w:rsidRPr="00C70D38">
        <w:rPr>
          <w:rFonts w:ascii="Cambria" w:eastAsia="Times New Roman" w:hAnsi="Cambria"/>
          <w:bCs/>
          <w:noProof/>
          <w:sz w:val="19"/>
          <w:szCs w:val="19"/>
          <w:lang w:eastAsia="lv-LV"/>
        </w:rPr>
        <w:br/>
        <w:t>22.06.2021. normatīvajiem noteikumiem Nr. 76</w:t>
      </w:r>
    </w:p>
    <w:p w:rsidR="006362DE" w:rsidRPr="00C70D38" w:rsidRDefault="006362DE" w:rsidP="006362DE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noProof/>
          <w:szCs w:val="19"/>
          <w:lang w:eastAsia="lv-LV"/>
        </w:rPr>
      </w:pPr>
      <w:r w:rsidRPr="00C70D38">
        <w:rPr>
          <w:rFonts w:ascii="Cambria" w:eastAsia="Times New Roman" w:hAnsi="Cambria"/>
          <w:b/>
          <w:bCs/>
          <w:noProof/>
          <w:szCs w:val="19"/>
          <w:lang w:eastAsia="lv-LV"/>
        </w:rPr>
        <w:t>Emitenta un segto obligāciju sabiedrības iekšējo dokumentu uzskaites tabula</w:t>
      </w:r>
    </w:p>
    <w:p w:rsidR="006362DE" w:rsidRPr="00C70D38" w:rsidRDefault="006362DE" w:rsidP="006362DE">
      <w:pPr>
        <w:pStyle w:val="NormalWeb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bCs/>
          <w:noProof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098"/>
        <w:gridCol w:w="1406"/>
        <w:gridCol w:w="1267"/>
        <w:gridCol w:w="1406"/>
        <w:gridCol w:w="1745"/>
      </w:tblGrid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Nr.</w:t>
            </w: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br/>
              <w:t>p.k.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Sniedzamā informācija atbilstoši šo noteikumu II nodaļā noteiktajam*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Unikāls dokumenta numurs un datums</w:t>
            </w: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Dokumenta nosaukums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Norāde uz sadaļu, lappusi vai punktu dokumentā, kas satur sniedzamo informāciju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Atzīme par attiecīgo iekšējo dokumentu, kurš ir saistošs segto obligāciju sabiedrībai</w:t>
            </w:r>
          </w:p>
        </w:tc>
      </w:tr>
      <w:tr w:rsidR="006362DE" w:rsidRPr="00C70D38" w:rsidTr="00452B79">
        <w:trPr>
          <w:cantSplit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Informācija par emitentu</w:t>
            </w: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1.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Seguma aktīvu veids, to apmērs, termiņš, galvenie darījumu partneri, ģeogrāfiskais sadalījums, aizdevuma apmēra attiecība pret nodrošinājumu un citiem emitenta noteiktajiem raksturojošajiem lielumiem (6.2.1.)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2.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Emitenta bilancē esošo līdzvērtīgu aktīvu, kurus var izmantot seguma aktīvu portfeļa kvalitātes pasliktināšanās gadījumā, kopums (6.2.2.)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3.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Plāns, kā tiks nodrošināts, ka seguma portfeļa aktīvu apmērs un kvalitāte ir pietiekama, lai nodrošinātu Segto obligāciju likuma prasībām atbilstošu seguma portfeļa kvalitāti (6.2.2.)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4.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Seguma portfeļa izveidošanas, nošķiršanas, vērtēšanas un seguma aktīvu aizstāšanas kārtība (5.4.1.)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5.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Veiktās stresa testēšanas rezultāti un tās ietvaros identificēto risku izvērtējums (6.2.3.)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6.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Seguma portfeļa stresa testēšanas kārtība (5.4.4.)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7.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Segto obligāciju programmas īstenošanas organizatoriskā struktūra, emitenta un segto obligāciju sabiedrības kompetento personu un struktūrvienību pienākumi un atbildība (6.3.)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lastRenderedPageBreak/>
              <w:t>8.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Kompetento personu piemērotības izvērtēšanas kārtība (5.4.3.)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9.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Prognoze par segto obligāciju programmas īstenošanas procesa uzsākšanu un pirmā gada izmaksām (6.4.)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10.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Būtisku grozījumu veikšanas kritēriji (6.5.)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>11.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</w:rPr>
            </w:pPr>
            <w:r w:rsidRPr="00C70D38">
              <w:rPr>
                <w:rFonts w:ascii="Cambria" w:hAnsi="Cambria"/>
                <w:noProof/>
                <w:sz w:val="19"/>
                <w:szCs w:val="19"/>
              </w:rPr>
              <w:t xml:space="preserve">Seguma aktīvu uzraugs, tā </w:t>
            </w: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izvēles, iecelšanas un nomaiņas kārtīb</w:t>
            </w:r>
            <w:r w:rsidRPr="00C70D38">
              <w:rPr>
                <w:rFonts w:ascii="Cambria" w:hAnsi="Cambria"/>
                <w:noProof/>
                <w:sz w:val="19"/>
                <w:szCs w:val="19"/>
              </w:rPr>
              <w:t>a (5.4.2.)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Informācija par segto obligāciju sabiedrību</w:t>
            </w: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12.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Darījumu noslēgšanas kārtība segto obligāciju sabiedrības darbības vai segto obligāciju programmas pienācīgas darbības nodrošināšanai (5.5.1.)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13.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Seguma aktīvu uzskaites kārtība (5.5.2.)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14.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Norēķinu kārtība starp segto obligāciju sabiedrību, ieguldītājiem un segto obligāciju kreditoriem, un emitentu (5.5.3.)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  <w:tr w:rsidR="006362DE" w:rsidRPr="00C70D38" w:rsidTr="00452B79">
        <w:trPr>
          <w:cantSplit/>
        </w:trPr>
        <w:tc>
          <w:tcPr>
            <w:tcW w:w="311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15.</w:t>
            </w:r>
          </w:p>
        </w:tc>
        <w:tc>
          <w:tcPr>
            <w:tcW w:w="16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  <w:r w:rsidRPr="00C70D38"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  <w:t>Cita informācija, kas iesniedzama Komisijai**</w:t>
            </w: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73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6362DE" w:rsidRPr="00C70D38" w:rsidRDefault="006362DE" w:rsidP="00452B7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sz w:val="19"/>
                <w:szCs w:val="19"/>
                <w:lang w:eastAsia="lv-LV"/>
              </w:rPr>
            </w:pPr>
          </w:p>
        </w:tc>
      </w:tr>
    </w:tbl>
    <w:p w:rsidR="006362DE" w:rsidRPr="00C70D38" w:rsidRDefault="006362DE" w:rsidP="006362DE">
      <w:pPr>
        <w:pStyle w:val="ListParagraph"/>
        <w:shd w:val="clear" w:color="auto" w:fill="FFFFFF"/>
        <w:spacing w:before="130" w:after="0" w:line="260" w:lineRule="exact"/>
        <w:ind w:left="0"/>
        <w:contextualSpacing w:val="0"/>
        <w:jc w:val="both"/>
        <w:rPr>
          <w:rFonts w:ascii="Cambria" w:eastAsia="Times New Roman" w:hAnsi="Cambria"/>
          <w:bCs/>
          <w:noProof/>
          <w:sz w:val="17"/>
          <w:szCs w:val="17"/>
          <w:lang w:eastAsia="lv-LV"/>
        </w:rPr>
      </w:pPr>
      <w:r w:rsidRPr="00C70D38">
        <w:rPr>
          <w:rFonts w:ascii="Cambria" w:eastAsia="Times New Roman" w:hAnsi="Cambria"/>
          <w:bCs/>
          <w:noProof/>
          <w:sz w:val="17"/>
          <w:szCs w:val="17"/>
          <w:lang w:eastAsia="lv-LV"/>
        </w:rPr>
        <w:t>* Tabulas kolonnā tiek uzskaitītas šo noteikumu II nodaļas prasības, iekavās norādot precīzas atsauces uz konkrēto noteikumu punktu.</w:t>
      </w:r>
    </w:p>
    <w:p w:rsidR="00711EB7" w:rsidRPr="006362DE" w:rsidRDefault="006362DE" w:rsidP="006362DE">
      <w:pPr>
        <w:pStyle w:val="ListParagraph"/>
        <w:shd w:val="clear" w:color="auto" w:fill="FFFFFF"/>
        <w:spacing w:after="0" w:line="260" w:lineRule="exact"/>
        <w:ind w:left="0"/>
        <w:contextualSpacing w:val="0"/>
        <w:jc w:val="both"/>
        <w:rPr>
          <w:rFonts w:ascii="Cambria" w:eastAsia="Times New Roman" w:hAnsi="Cambria"/>
          <w:bCs/>
          <w:noProof/>
          <w:sz w:val="17"/>
          <w:szCs w:val="17"/>
          <w:lang w:eastAsia="lv-LV"/>
        </w:rPr>
      </w:pPr>
      <w:r w:rsidRPr="00C70D38">
        <w:rPr>
          <w:rFonts w:ascii="Cambria" w:eastAsia="Times New Roman" w:hAnsi="Cambria"/>
          <w:bCs/>
          <w:noProof/>
          <w:sz w:val="17"/>
          <w:szCs w:val="17"/>
          <w:lang w:eastAsia="lv-LV"/>
        </w:rPr>
        <w:t>** Aizpilda gadījumā, ja emitents sniedz citu informāciju, ko tā ieskatā ir būtiski iesniegt Komisijai.</w:t>
      </w:r>
    </w:p>
    <w:sectPr w:rsidR="00711EB7" w:rsidRPr="006362DE" w:rsidSect="00C70D38">
      <w:headerReference w:type="first" r:id="rId4"/>
      <w:pgSz w:w="11907" w:h="16839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38" w:rsidRPr="00C70D38" w:rsidRDefault="006362DE" w:rsidP="00C70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E"/>
    <w:rsid w:val="000754BB"/>
    <w:rsid w:val="006362DE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5CFA-B09B-48B7-AC5D-BC5D6831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DE"/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rsid w:val="006362DE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2021-06-28T07:20:00Z</dcterms:created>
  <dcterms:modified xsi:type="dcterms:W3CDTF">2021-06-28T07:21:00Z</dcterms:modified>
</cp:coreProperties>
</file>