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41" w:rsidRPr="00640637" w:rsidRDefault="00ED4C41" w:rsidP="00ED4C41">
      <w:pPr>
        <w:spacing w:before="130" w:line="260" w:lineRule="exact"/>
        <w:jc w:val="right"/>
        <w:rPr>
          <w:rFonts w:ascii="Cambria" w:hAnsi="Cambria"/>
          <w:sz w:val="19"/>
          <w:szCs w:val="19"/>
          <w:lang w:val="lv-LV"/>
        </w:rPr>
      </w:pPr>
      <w:r w:rsidRPr="00640637">
        <w:rPr>
          <w:rFonts w:ascii="Cambria" w:hAnsi="Cambria"/>
          <w:sz w:val="19"/>
          <w:szCs w:val="19"/>
          <w:lang w:val="lv-LV"/>
        </w:rPr>
        <w:t>6. pielikums</w:t>
      </w:r>
      <w:r w:rsidRPr="00640637">
        <w:rPr>
          <w:rFonts w:ascii="Cambria" w:hAnsi="Cambria"/>
          <w:sz w:val="19"/>
          <w:szCs w:val="19"/>
          <w:lang w:val="lv-LV"/>
        </w:rPr>
        <w:br/>
        <w:t>Finanšu un kapitāla tirgus komisijas</w:t>
      </w:r>
      <w:r w:rsidRPr="00640637">
        <w:rPr>
          <w:rFonts w:ascii="Cambria" w:hAnsi="Cambria"/>
          <w:sz w:val="19"/>
          <w:szCs w:val="19"/>
          <w:lang w:val="lv-LV"/>
        </w:rPr>
        <w:br/>
        <w:t>22.12.2020. normatīvajiem noteikumiem Nr. 247</w:t>
      </w:r>
    </w:p>
    <w:p w:rsidR="00ED4C41" w:rsidRPr="00640637" w:rsidRDefault="00ED4C41" w:rsidP="00ED4C41">
      <w:pPr>
        <w:spacing w:before="130" w:line="260" w:lineRule="exact"/>
        <w:jc w:val="both"/>
        <w:rPr>
          <w:rFonts w:ascii="Cambria" w:hAnsi="Cambria"/>
          <w:sz w:val="19"/>
          <w:szCs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4986"/>
        <w:gridCol w:w="9028"/>
      </w:tblGrid>
      <w:tr w:rsidR="00ED4C41" w:rsidRPr="00640637" w:rsidTr="00F1293D">
        <w:trPr>
          <w:cantSplit/>
          <w:trHeight w:val="227"/>
        </w:trPr>
        <w:tc>
          <w:tcPr>
            <w:tcW w:w="5131" w:type="dxa"/>
            <w:tcBorders>
              <w:bottom w:val="single" w:sz="4" w:space="0" w:color="auto"/>
            </w:tcBorders>
            <w:shd w:val="clear" w:color="auto" w:fill="auto"/>
            <w:vAlign w:val="center"/>
          </w:tcPr>
          <w:p w:rsidR="00ED4C41" w:rsidRPr="00640637" w:rsidRDefault="00ED4C41" w:rsidP="00F1293D">
            <w:pPr>
              <w:pStyle w:val="BodyText"/>
              <w:rPr>
                <w:rFonts w:ascii="Cambria" w:hAnsi="Cambria"/>
                <w:b w:val="0"/>
                <w:sz w:val="19"/>
                <w:szCs w:val="19"/>
                <w:lang w:val="lv-LV"/>
              </w:rPr>
            </w:pPr>
          </w:p>
        </w:tc>
        <w:tc>
          <w:tcPr>
            <w:tcW w:w="9382" w:type="dxa"/>
            <w:shd w:val="clear" w:color="auto" w:fill="auto"/>
            <w:vAlign w:val="center"/>
          </w:tcPr>
          <w:p w:rsidR="00ED4C41" w:rsidRPr="00640637" w:rsidRDefault="00ED4C41" w:rsidP="00F1293D">
            <w:pPr>
              <w:pStyle w:val="BodyText"/>
              <w:rPr>
                <w:rFonts w:ascii="Cambria" w:hAnsi="Cambria"/>
                <w:b w:val="0"/>
                <w:sz w:val="19"/>
                <w:szCs w:val="19"/>
                <w:lang w:val="lv-LV"/>
              </w:rPr>
            </w:pPr>
          </w:p>
        </w:tc>
      </w:tr>
      <w:tr w:rsidR="00ED4C41" w:rsidRPr="00640637" w:rsidTr="00F1293D">
        <w:trPr>
          <w:cantSplit/>
        </w:trPr>
        <w:tc>
          <w:tcPr>
            <w:tcW w:w="5131" w:type="dxa"/>
            <w:tcBorders>
              <w:top w:val="single" w:sz="4" w:space="0" w:color="auto"/>
            </w:tcBorders>
            <w:shd w:val="clear" w:color="auto" w:fill="auto"/>
          </w:tcPr>
          <w:p w:rsidR="00ED4C41" w:rsidRPr="00640637" w:rsidRDefault="00ED4C41" w:rsidP="00F1293D">
            <w:pPr>
              <w:jc w:val="center"/>
              <w:rPr>
                <w:rFonts w:ascii="Cambria" w:hAnsi="Cambria"/>
                <w:sz w:val="17"/>
                <w:szCs w:val="17"/>
                <w:lang w:val="lv-LV"/>
              </w:rPr>
            </w:pPr>
            <w:r w:rsidRPr="00640637">
              <w:rPr>
                <w:rFonts w:ascii="Cambria" w:hAnsi="Cambria"/>
                <w:sz w:val="17"/>
                <w:szCs w:val="17"/>
                <w:lang w:val="lv-LV"/>
              </w:rPr>
              <w:t>(iestādes nosaukums)</w:t>
            </w:r>
          </w:p>
        </w:tc>
        <w:tc>
          <w:tcPr>
            <w:tcW w:w="9382" w:type="dxa"/>
            <w:shd w:val="clear" w:color="auto" w:fill="auto"/>
            <w:vAlign w:val="center"/>
          </w:tcPr>
          <w:p w:rsidR="00ED4C41" w:rsidRPr="00640637" w:rsidRDefault="00ED4C41" w:rsidP="00F1293D">
            <w:pPr>
              <w:pStyle w:val="BodyText"/>
              <w:rPr>
                <w:rFonts w:ascii="Cambria" w:hAnsi="Cambria"/>
                <w:b w:val="0"/>
                <w:sz w:val="19"/>
                <w:szCs w:val="19"/>
                <w:lang w:val="lv-LV"/>
              </w:rPr>
            </w:pPr>
          </w:p>
        </w:tc>
      </w:tr>
      <w:tr w:rsidR="00ED4C41" w:rsidRPr="00640637" w:rsidTr="00F1293D">
        <w:trPr>
          <w:cantSplit/>
          <w:trHeight w:val="227"/>
        </w:trPr>
        <w:tc>
          <w:tcPr>
            <w:tcW w:w="5131" w:type="dxa"/>
            <w:tcBorders>
              <w:bottom w:val="single" w:sz="4" w:space="0" w:color="auto"/>
            </w:tcBorders>
            <w:shd w:val="clear" w:color="auto" w:fill="auto"/>
            <w:vAlign w:val="center"/>
          </w:tcPr>
          <w:p w:rsidR="00ED4C41" w:rsidRPr="00640637" w:rsidRDefault="00ED4C41" w:rsidP="00F1293D">
            <w:pPr>
              <w:pStyle w:val="BodyText"/>
              <w:rPr>
                <w:rFonts w:ascii="Cambria" w:hAnsi="Cambria"/>
                <w:b w:val="0"/>
                <w:sz w:val="19"/>
                <w:szCs w:val="19"/>
                <w:lang w:val="lv-LV"/>
              </w:rPr>
            </w:pPr>
          </w:p>
        </w:tc>
        <w:tc>
          <w:tcPr>
            <w:tcW w:w="9382" w:type="dxa"/>
            <w:shd w:val="clear" w:color="auto" w:fill="auto"/>
            <w:vAlign w:val="center"/>
          </w:tcPr>
          <w:p w:rsidR="00ED4C41" w:rsidRPr="00640637" w:rsidRDefault="00ED4C41" w:rsidP="00F1293D">
            <w:pPr>
              <w:pStyle w:val="BodyText"/>
              <w:rPr>
                <w:rFonts w:ascii="Cambria" w:hAnsi="Cambria"/>
                <w:b w:val="0"/>
                <w:sz w:val="19"/>
                <w:szCs w:val="19"/>
                <w:lang w:val="lv-LV"/>
              </w:rPr>
            </w:pPr>
          </w:p>
        </w:tc>
      </w:tr>
      <w:tr w:rsidR="00ED4C41" w:rsidRPr="00640637" w:rsidTr="00F1293D">
        <w:trPr>
          <w:cantSplit/>
        </w:trPr>
        <w:tc>
          <w:tcPr>
            <w:tcW w:w="5131" w:type="dxa"/>
            <w:tcBorders>
              <w:top w:val="single" w:sz="4" w:space="0" w:color="auto"/>
            </w:tcBorders>
            <w:shd w:val="clear" w:color="auto" w:fill="auto"/>
          </w:tcPr>
          <w:p w:rsidR="00ED4C41" w:rsidRPr="00640637" w:rsidRDefault="00ED4C41" w:rsidP="00F1293D">
            <w:pPr>
              <w:jc w:val="center"/>
              <w:rPr>
                <w:rFonts w:ascii="Cambria" w:hAnsi="Cambria"/>
                <w:sz w:val="17"/>
                <w:szCs w:val="17"/>
                <w:lang w:val="lv-LV"/>
              </w:rPr>
            </w:pPr>
            <w:r w:rsidRPr="00640637">
              <w:rPr>
                <w:rFonts w:ascii="Cambria" w:hAnsi="Cambria"/>
                <w:sz w:val="17"/>
                <w:szCs w:val="17"/>
                <w:lang w:val="lv-LV"/>
              </w:rPr>
              <w:t>(pašnovērtējuma veikšanas datums)</w:t>
            </w:r>
          </w:p>
        </w:tc>
        <w:tc>
          <w:tcPr>
            <w:tcW w:w="9382" w:type="dxa"/>
            <w:shd w:val="clear" w:color="auto" w:fill="auto"/>
            <w:vAlign w:val="center"/>
          </w:tcPr>
          <w:p w:rsidR="00ED4C41" w:rsidRPr="00640637" w:rsidRDefault="00ED4C41" w:rsidP="00F1293D">
            <w:pPr>
              <w:pStyle w:val="BodyText"/>
              <w:rPr>
                <w:rFonts w:ascii="Cambria" w:hAnsi="Cambria"/>
                <w:b w:val="0"/>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p>
    <w:p w:rsidR="00ED4C41" w:rsidRPr="00366B1B" w:rsidRDefault="00ED4C41" w:rsidP="00ED4C41">
      <w:pPr>
        <w:pStyle w:val="BodyText2"/>
        <w:spacing w:before="360"/>
        <w:ind w:left="567" w:right="567"/>
        <w:jc w:val="center"/>
        <w:rPr>
          <w:rFonts w:ascii="Cambria" w:hAnsi="Cambria"/>
          <w:b/>
          <w:sz w:val="22"/>
          <w:szCs w:val="19"/>
        </w:rPr>
      </w:pPr>
      <w:r w:rsidRPr="00366B1B">
        <w:rPr>
          <w:rFonts w:ascii="Cambria" w:hAnsi="Cambria"/>
          <w:b/>
          <w:sz w:val="22"/>
          <w:szCs w:val="19"/>
        </w:rPr>
        <w:t>IMTR</w:t>
      </w:r>
      <w:r w:rsidRPr="00366B1B" w:rsidDel="002742F0">
        <w:rPr>
          <w:rFonts w:ascii="Cambria" w:hAnsi="Cambria"/>
          <w:b/>
          <w:sz w:val="22"/>
          <w:szCs w:val="19"/>
        </w:rPr>
        <w:t xml:space="preserve"> </w:t>
      </w:r>
      <w:r w:rsidRPr="00366B1B">
        <w:rPr>
          <w:rFonts w:ascii="Cambria" w:hAnsi="Cambria"/>
          <w:b/>
          <w:sz w:val="22"/>
          <w:szCs w:val="19"/>
        </w:rPr>
        <w:t>izmantošanai tirgus risku pašu kapitāla prasības noteikšanā</w:t>
      </w:r>
      <w:r w:rsidRPr="00366B1B">
        <w:rPr>
          <w:rFonts w:ascii="Cambria" w:hAnsi="Cambria"/>
          <w:b/>
          <w:bCs/>
          <w:sz w:val="22"/>
          <w:szCs w:val="19"/>
        </w:rPr>
        <w:t xml:space="preserve"> </w:t>
      </w:r>
      <w:r w:rsidRPr="00366B1B">
        <w:rPr>
          <w:rFonts w:ascii="Cambria" w:hAnsi="Cambria"/>
          <w:b/>
          <w:sz w:val="22"/>
          <w:szCs w:val="19"/>
        </w:rPr>
        <w:t>izvirzīto prasību atbilstības pašnovērtējums</w:t>
      </w:r>
    </w:p>
    <w:p w:rsidR="00ED4C41" w:rsidRPr="00640637" w:rsidRDefault="00ED4C41" w:rsidP="00ED4C41">
      <w:pPr>
        <w:spacing w:before="130" w:line="260" w:lineRule="exact"/>
        <w:rPr>
          <w:rFonts w:ascii="Cambria" w:hAnsi="Cambria"/>
          <w:bCs/>
          <w:sz w:val="19"/>
          <w:szCs w:val="19"/>
          <w:lang w:val="lv-LV"/>
        </w:rPr>
      </w:pPr>
    </w:p>
    <w:p w:rsidR="00ED4C41" w:rsidRPr="00640637" w:rsidRDefault="00ED4C41" w:rsidP="00ED4C41">
      <w:pPr>
        <w:pStyle w:val="BodyText"/>
        <w:spacing w:before="130" w:line="260" w:lineRule="exact"/>
        <w:jc w:val="both"/>
        <w:rPr>
          <w:rFonts w:ascii="Cambria" w:hAnsi="Cambria"/>
          <w:bCs w:val="0"/>
          <w:sz w:val="19"/>
          <w:szCs w:val="19"/>
        </w:rPr>
      </w:pPr>
      <w:r w:rsidRPr="00640637">
        <w:rPr>
          <w:rFonts w:ascii="Cambria" w:hAnsi="Cambria"/>
          <w:bCs w:val="0"/>
          <w:sz w:val="19"/>
          <w:szCs w:val="19"/>
        </w:rPr>
        <w:t xml:space="preserve">1. </w:t>
      </w:r>
      <w:proofErr w:type="spellStart"/>
      <w:r w:rsidRPr="00640637">
        <w:rPr>
          <w:rFonts w:ascii="Cambria" w:eastAsia="Arial Unicode MS" w:hAnsi="Cambria"/>
          <w:bCs w:val="0"/>
          <w:sz w:val="19"/>
          <w:szCs w:val="19"/>
          <w:shd w:val="clear" w:color="auto" w:fill="FFFFFF"/>
        </w:rPr>
        <w:t>Riskam</w:t>
      </w:r>
      <w:proofErr w:type="spellEnd"/>
      <w:r w:rsidRPr="00640637">
        <w:rPr>
          <w:rFonts w:ascii="Cambria" w:eastAsia="Arial Unicode MS" w:hAnsi="Cambria"/>
          <w:bCs w:val="0"/>
          <w:sz w:val="19"/>
          <w:szCs w:val="19"/>
          <w:shd w:val="clear" w:color="auto" w:fill="FFFFFF"/>
        </w:rPr>
        <w:t xml:space="preserve"> </w:t>
      </w:r>
      <w:proofErr w:type="spellStart"/>
      <w:r w:rsidRPr="00640637">
        <w:rPr>
          <w:rFonts w:ascii="Cambria" w:eastAsia="Arial Unicode MS" w:hAnsi="Cambria"/>
          <w:bCs w:val="0"/>
          <w:sz w:val="19"/>
          <w:szCs w:val="19"/>
          <w:shd w:val="clear" w:color="auto" w:fill="FFFFFF"/>
        </w:rPr>
        <w:t>pakļautās</w:t>
      </w:r>
      <w:proofErr w:type="spellEnd"/>
      <w:r w:rsidRPr="00640637">
        <w:rPr>
          <w:rFonts w:ascii="Cambria" w:eastAsia="Arial Unicode MS" w:hAnsi="Cambria"/>
          <w:bCs w:val="0"/>
          <w:sz w:val="19"/>
          <w:szCs w:val="19"/>
          <w:shd w:val="clear" w:color="auto" w:fill="FFFFFF"/>
        </w:rPr>
        <w:t xml:space="preserve"> </w:t>
      </w:r>
      <w:proofErr w:type="spellStart"/>
      <w:r w:rsidRPr="00640637">
        <w:rPr>
          <w:rFonts w:ascii="Cambria" w:eastAsia="Arial Unicode MS" w:hAnsi="Cambria"/>
          <w:bCs w:val="0"/>
          <w:sz w:val="19"/>
          <w:szCs w:val="19"/>
          <w:shd w:val="clear" w:color="auto" w:fill="FFFFFF"/>
        </w:rPr>
        <w:t>vērtības</w:t>
      </w:r>
      <w:proofErr w:type="spellEnd"/>
      <w:r w:rsidRPr="00640637">
        <w:rPr>
          <w:rFonts w:ascii="Cambria" w:eastAsia="Arial Unicode MS" w:hAnsi="Cambria"/>
          <w:bCs w:val="0"/>
          <w:sz w:val="19"/>
          <w:szCs w:val="19"/>
          <w:shd w:val="clear" w:color="auto" w:fill="FFFFFF"/>
        </w:rPr>
        <w:t xml:space="preserve"> (</w:t>
      </w:r>
      <w:proofErr w:type="spellStart"/>
      <w:r w:rsidRPr="00640637">
        <w:rPr>
          <w:rFonts w:ascii="Cambria" w:eastAsia="Arial Unicode MS" w:hAnsi="Cambria"/>
          <w:bCs w:val="0"/>
          <w:sz w:val="19"/>
          <w:szCs w:val="19"/>
          <w:shd w:val="clear" w:color="auto" w:fill="FFFFFF"/>
        </w:rPr>
        <w:t>tālāk</w:t>
      </w:r>
      <w:proofErr w:type="spellEnd"/>
      <w:r w:rsidRPr="00640637">
        <w:rPr>
          <w:rFonts w:ascii="Cambria" w:eastAsia="Arial Unicode MS" w:hAnsi="Cambria"/>
          <w:bCs w:val="0"/>
          <w:sz w:val="19"/>
          <w:szCs w:val="19"/>
          <w:shd w:val="clear" w:color="auto" w:fill="FFFFFF"/>
        </w:rPr>
        <w:t xml:space="preserve"> </w:t>
      </w:r>
      <w:proofErr w:type="spellStart"/>
      <w:r w:rsidRPr="00640637">
        <w:rPr>
          <w:rFonts w:ascii="Cambria" w:eastAsia="Arial Unicode MS" w:hAnsi="Cambria"/>
          <w:bCs w:val="0"/>
          <w:sz w:val="19"/>
          <w:szCs w:val="19"/>
          <w:shd w:val="clear" w:color="auto" w:fill="FFFFFF"/>
        </w:rPr>
        <w:t>tekstā</w:t>
      </w:r>
      <w:proofErr w:type="spellEnd"/>
      <w:r w:rsidRPr="00640637">
        <w:rPr>
          <w:rFonts w:ascii="Cambria" w:eastAsia="Arial Unicode MS" w:hAnsi="Cambria"/>
          <w:bCs w:val="0"/>
          <w:sz w:val="19"/>
          <w:szCs w:val="19"/>
          <w:shd w:val="clear" w:color="auto" w:fill="FFFFFF"/>
        </w:rPr>
        <w:t xml:space="preserve"> – RPV) </w:t>
      </w:r>
      <w:proofErr w:type="gramStart"/>
      <w:r w:rsidRPr="00640637">
        <w:rPr>
          <w:rFonts w:ascii="Cambria" w:eastAsia="Arial Unicode MS" w:hAnsi="Cambria"/>
          <w:bCs w:val="0"/>
          <w:sz w:val="19"/>
          <w:szCs w:val="19"/>
          <w:shd w:val="clear" w:color="auto" w:fill="FFFFFF"/>
        </w:rPr>
        <w:t>un</w:t>
      </w:r>
      <w:proofErr w:type="gramEnd"/>
      <w:r w:rsidRPr="00640637">
        <w:rPr>
          <w:rFonts w:ascii="Cambria" w:eastAsia="Arial Unicode MS" w:hAnsi="Cambria"/>
          <w:bCs w:val="0"/>
          <w:sz w:val="19"/>
          <w:szCs w:val="19"/>
          <w:shd w:val="clear" w:color="auto" w:fill="FFFFFF"/>
        </w:rPr>
        <w:t xml:space="preserve"> RPV </w:t>
      </w:r>
      <w:proofErr w:type="spellStart"/>
      <w:r w:rsidRPr="00640637">
        <w:rPr>
          <w:rFonts w:ascii="Cambria" w:eastAsia="Arial Unicode MS" w:hAnsi="Cambria"/>
          <w:bCs w:val="0"/>
          <w:sz w:val="19"/>
          <w:szCs w:val="19"/>
          <w:shd w:val="clear" w:color="auto" w:fill="FFFFFF"/>
        </w:rPr>
        <w:t>spriedzes</w:t>
      </w:r>
      <w:proofErr w:type="spellEnd"/>
      <w:r w:rsidRPr="00640637">
        <w:rPr>
          <w:rFonts w:ascii="Cambria" w:eastAsia="Arial Unicode MS" w:hAnsi="Cambria"/>
          <w:bCs w:val="0"/>
          <w:sz w:val="19"/>
          <w:szCs w:val="19"/>
          <w:shd w:val="clear" w:color="auto" w:fill="FFFFFF"/>
        </w:rPr>
        <w:t xml:space="preserve"> </w:t>
      </w:r>
      <w:proofErr w:type="spellStart"/>
      <w:r w:rsidRPr="00640637">
        <w:rPr>
          <w:rFonts w:ascii="Cambria" w:eastAsia="Arial Unicode MS" w:hAnsi="Cambria"/>
          <w:bCs w:val="0"/>
          <w:sz w:val="19"/>
          <w:szCs w:val="19"/>
          <w:shd w:val="clear" w:color="auto" w:fill="FFFFFF"/>
        </w:rPr>
        <w:t>apstākļos</w:t>
      </w:r>
      <w:proofErr w:type="spellEnd"/>
      <w:r w:rsidRPr="00640637">
        <w:rPr>
          <w:rFonts w:ascii="Cambria" w:eastAsia="Arial Unicode MS" w:hAnsi="Cambria"/>
          <w:bCs w:val="0"/>
          <w:sz w:val="19"/>
          <w:szCs w:val="19"/>
          <w:shd w:val="clear" w:color="auto" w:fill="FFFFFF"/>
        </w:rPr>
        <w:t xml:space="preserve"> </w:t>
      </w:r>
      <w:proofErr w:type="spellStart"/>
      <w:r w:rsidRPr="00640637">
        <w:rPr>
          <w:rFonts w:ascii="Cambria" w:eastAsia="Arial Unicode MS" w:hAnsi="Cambria"/>
          <w:bCs w:val="0"/>
          <w:sz w:val="19"/>
          <w:szCs w:val="19"/>
          <w:shd w:val="clear" w:color="auto" w:fill="FFFFFF"/>
        </w:rPr>
        <w:t>aprēķināšana</w:t>
      </w:r>
      <w:proofErr w:type="spellEnd"/>
    </w:p>
    <w:p w:rsidR="00ED4C41" w:rsidRPr="00640637" w:rsidRDefault="00ED4C41" w:rsidP="00ED4C41">
      <w:pPr>
        <w:pStyle w:val="BodyText"/>
        <w:tabs>
          <w:tab w:val="left" w:pos="1755"/>
        </w:tabs>
        <w:spacing w:before="130" w:line="260" w:lineRule="exact"/>
        <w:jc w:val="both"/>
        <w:rPr>
          <w:rFonts w:ascii="Cambria" w:hAnsi="Cambria"/>
          <w:b w:val="0"/>
          <w:iCs/>
          <w:sz w:val="19"/>
          <w:szCs w:val="19"/>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1. RPV aprēķins tiek veikts katru dienu.</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 xml:space="preserve">2. Aprēķinot RPV, tiek piemērots 99. </w:t>
      </w:r>
      <w:proofErr w:type="spellStart"/>
      <w:r w:rsidRPr="00640637">
        <w:rPr>
          <w:rFonts w:ascii="Cambria" w:hAnsi="Cambria"/>
          <w:sz w:val="19"/>
          <w:szCs w:val="19"/>
          <w:lang w:val="lv-LV"/>
        </w:rPr>
        <w:t>percentiles</w:t>
      </w:r>
      <w:proofErr w:type="spellEnd"/>
      <w:r w:rsidRPr="00640637">
        <w:rPr>
          <w:rFonts w:ascii="Cambria" w:hAnsi="Cambria"/>
          <w:sz w:val="19"/>
          <w:szCs w:val="19"/>
          <w:lang w:val="lv-LV"/>
        </w:rPr>
        <w:t xml:space="preserve"> vienpusējs ticamības intervāls.</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3. RPV aprēķinā iekļauto pozīciju turēšanas periods pielīdzināms 10 dienām.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4.</w:t>
      </w:r>
      <w:r w:rsidRPr="00640637">
        <w:rPr>
          <w:rFonts w:ascii="Cambria" w:hAnsi="Cambria"/>
          <w:sz w:val="19"/>
          <w:szCs w:val="19"/>
          <w:vertAlign w:val="superscript"/>
          <w:lang w:val="lv-LV"/>
        </w:rPr>
        <w:t xml:space="preserve"> </w:t>
      </w:r>
      <w:r w:rsidRPr="00640637">
        <w:rPr>
          <w:rFonts w:ascii="Cambria" w:hAnsi="Cambria"/>
          <w:sz w:val="19"/>
          <w:szCs w:val="19"/>
          <w:lang w:val="lv-LV"/>
        </w:rPr>
        <w:t>Ja iestāde izmanto RPV skaitliskos lielumus, kas aprēķināti īsākam turēšanas periodam nekā 10 dienas, palielinot mērogu līdz 10 dienām, piemēro atbilstošu metodiku, kas tiek periodiski pārskatīta.</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5. Pastāv vismaz viena gada efektīvais vēsturiskās novērošanas periods, izņemot gadījumus, kad īsāku novērošanas periodu attaisno cenu svārstību būtisks pieaugums.</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6. Visa datu kopa tiek aktualizēta ne retāk kā reizi mēnesī.</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eastAsia="Arial Unicode MS" w:hAnsi="Cambria"/>
          <w:sz w:val="19"/>
          <w:szCs w:val="19"/>
          <w:shd w:val="clear" w:color="auto" w:fill="FFFFFF"/>
          <w:lang w:val="lv-LV"/>
        </w:rPr>
      </w:pPr>
      <w:r w:rsidRPr="00640637">
        <w:rPr>
          <w:rFonts w:ascii="Cambria" w:hAnsi="Cambria"/>
          <w:sz w:val="19"/>
          <w:szCs w:val="19"/>
          <w:lang w:val="lv-LV"/>
        </w:rPr>
        <w:t xml:space="preserve">7. </w:t>
      </w:r>
      <w:r w:rsidRPr="00640637">
        <w:rPr>
          <w:rFonts w:ascii="Cambria" w:eastAsia="Arial Unicode MS" w:hAnsi="Cambria"/>
          <w:sz w:val="19"/>
          <w:szCs w:val="19"/>
          <w:shd w:val="clear" w:color="auto" w:fill="FFFFFF"/>
          <w:lang w:val="lv-LV"/>
        </w:rPr>
        <w:t>Iestāde vismaz reizi nedēļā aprēķina sava pašreizējā portfeļa RPV spriedzes apstākļos saskaņā ar ES Regulas Nr.</w:t>
      </w:r>
      <w:r w:rsidRPr="00640637">
        <w:rPr>
          <w:rStyle w:val="apple-converted-space"/>
          <w:rFonts w:ascii="Cambria" w:eastAsia="Arial Unicode MS" w:hAnsi="Cambria"/>
          <w:sz w:val="19"/>
          <w:szCs w:val="19"/>
          <w:shd w:val="clear" w:color="auto" w:fill="FFFFFF"/>
          <w:lang w:val="lv-LV"/>
        </w:rPr>
        <w:t xml:space="preserve"> </w:t>
      </w:r>
      <w:r w:rsidRPr="00640637">
        <w:rPr>
          <w:rFonts w:ascii="Cambria" w:eastAsia="Arial Unicode MS" w:hAnsi="Cambria"/>
          <w:sz w:val="19"/>
          <w:szCs w:val="19"/>
          <w:shd w:val="clear" w:color="auto" w:fill="FFFFFF"/>
          <w:lang w:val="lv-LV"/>
        </w:rPr>
        <w:t>575/2013 365. panta 1. daļā noteiktajām prasībām, RPV modeļu ievades datiem izmantojot vēsturiskos datus par nepārtrauktu 12 mēnešu laika posmu, kurā iestādes portfelis bijis pakļauts ievērojamai finansiālai spriedzei.</w:t>
      </w:r>
      <w:r w:rsidRPr="00640637">
        <w:rPr>
          <w:rStyle w:val="apple-converted-space"/>
          <w:rFonts w:ascii="Cambria" w:eastAsia="Arial Unicode MS" w:hAnsi="Cambria"/>
          <w:sz w:val="19"/>
          <w:szCs w:val="19"/>
          <w:shd w:val="clear" w:color="auto" w:fill="FFFFFF"/>
          <w:lang w:val="lv-LV"/>
        </w:rPr>
        <w:t xml:space="preserve"> </w:t>
      </w:r>
      <w:r w:rsidRPr="00640637">
        <w:rPr>
          <w:rFonts w:ascii="Cambria" w:eastAsia="Arial Unicode MS" w:hAnsi="Cambria"/>
          <w:sz w:val="19"/>
          <w:szCs w:val="19"/>
          <w:shd w:val="clear" w:color="auto" w:fill="FFFFFF"/>
          <w:lang w:val="lv-LV"/>
        </w:rPr>
        <w:t>Iestāde vismaz reizi gadā pārskata šo vēsturisko datu izvēli un par rezultātiem informē kompetentās iestādes.</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pStyle w:val="norm"/>
        <w:shd w:val="clear" w:color="auto" w:fill="FFFFFF"/>
        <w:spacing w:before="130" w:beforeAutospacing="0" w:after="0" w:afterAutospacing="0" w:line="260" w:lineRule="exact"/>
        <w:jc w:val="both"/>
        <w:textAlignment w:val="baseline"/>
        <w:rPr>
          <w:rFonts w:ascii="Cambria" w:eastAsia="Arial Unicode MS" w:hAnsi="Cambria"/>
          <w:sz w:val="19"/>
          <w:szCs w:val="19"/>
        </w:rPr>
      </w:pPr>
      <w:r>
        <w:rPr>
          <w:rFonts w:ascii="Cambria" w:hAnsi="Cambria"/>
          <w:sz w:val="19"/>
          <w:szCs w:val="19"/>
        </w:rPr>
        <w:br w:type="page"/>
      </w:r>
      <w:r w:rsidRPr="00640637">
        <w:rPr>
          <w:rFonts w:ascii="Cambria" w:hAnsi="Cambria"/>
          <w:sz w:val="19"/>
          <w:szCs w:val="19"/>
        </w:rPr>
        <w:lastRenderedPageBreak/>
        <w:t xml:space="preserve">8. RPV iekšējam modelim tiek veiktas regulatīvas atpakaļejošās pārbaudes pārsniegumu skaita noteikšanai un attiecīgu </w:t>
      </w:r>
      <w:proofErr w:type="spellStart"/>
      <w:r w:rsidRPr="00640637">
        <w:rPr>
          <w:rFonts w:ascii="Cambria" w:hAnsi="Cambria"/>
          <w:sz w:val="19"/>
          <w:szCs w:val="19"/>
        </w:rPr>
        <w:t>m</w:t>
      </w:r>
      <w:r w:rsidRPr="00640637">
        <w:rPr>
          <w:rFonts w:ascii="Cambria" w:hAnsi="Cambria"/>
          <w:sz w:val="19"/>
          <w:szCs w:val="19"/>
          <w:vertAlign w:val="subscript"/>
        </w:rPr>
        <w:t>c</w:t>
      </w:r>
      <w:proofErr w:type="spellEnd"/>
      <w:r w:rsidRPr="00640637">
        <w:rPr>
          <w:rFonts w:ascii="Cambria" w:hAnsi="Cambria"/>
          <w:sz w:val="19"/>
          <w:szCs w:val="19"/>
        </w:rPr>
        <w:t xml:space="preserve"> un </w:t>
      </w:r>
      <w:proofErr w:type="spellStart"/>
      <w:r w:rsidRPr="00640637">
        <w:rPr>
          <w:rFonts w:ascii="Cambria" w:hAnsi="Cambria"/>
          <w:sz w:val="19"/>
          <w:szCs w:val="19"/>
        </w:rPr>
        <w:t>m</w:t>
      </w:r>
      <w:r w:rsidRPr="00640637">
        <w:rPr>
          <w:rFonts w:ascii="Cambria" w:hAnsi="Cambria"/>
          <w:sz w:val="19"/>
          <w:szCs w:val="19"/>
          <w:vertAlign w:val="subscript"/>
        </w:rPr>
        <w:t>s</w:t>
      </w:r>
      <w:proofErr w:type="spellEnd"/>
      <w:r w:rsidRPr="00640637">
        <w:rPr>
          <w:rFonts w:ascii="Cambria" w:hAnsi="Cambria"/>
          <w:sz w:val="19"/>
          <w:szCs w:val="19"/>
        </w:rPr>
        <w:t xml:space="preserve"> koeficientu aprēķināšana saskaņā ar ES Regulas Nr. 575/2013 366. panta prasībām, t.sk. </w:t>
      </w:r>
      <w:r w:rsidRPr="00640637">
        <w:rPr>
          <w:rFonts w:ascii="Cambria" w:eastAsia="Arial Unicode MS" w:hAnsi="Cambria"/>
          <w:sz w:val="19"/>
          <w:szCs w:val="19"/>
        </w:rPr>
        <w:t>iestāde aprēķina pārsniegumu skaitu katru dienu atpakaļejošā pārbaudē, salīdzinot portfeļa hipotētiskās un faktiskās vērtības izmaiņas. Pārsniegums ir vienas dienas izmaiņas portfeļa vērtībā, kas pārsniedz attiecīgo vienas dienas RPV skaitlisko lielumu, kuru prognozējis iestādes modelis. Lai noteiktu otro saskaitāmo, pārsniegumu skaitu izvērtē vismaz reizi ceturksnī, un tas ir vienāds ar lielāko pārsniegumu skaitu portfeļa vērtības hipotētiskajās un faktiskajās izmaiņās.</w:t>
      </w:r>
    </w:p>
    <w:p w:rsidR="00ED4C41" w:rsidRPr="00640637" w:rsidRDefault="00ED4C41" w:rsidP="00ED4C41">
      <w:pPr>
        <w:pStyle w:val="norm"/>
        <w:shd w:val="clear" w:color="auto" w:fill="FFFFFF"/>
        <w:spacing w:before="130" w:beforeAutospacing="0" w:after="0" w:afterAutospacing="0" w:line="260" w:lineRule="exact"/>
        <w:jc w:val="both"/>
        <w:textAlignment w:val="baseline"/>
        <w:rPr>
          <w:rFonts w:ascii="Cambria" w:eastAsia="Arial Unicode MS" w:hAnsi="Cambria"/>
          <w:sz w:val="19"/>
          <w:szCs w:val="19"/>
        </w:rPr>
      </w:pPr>
      <w:r w:rsidRPr="00640637">
        <w:rPr>
          <w:rFonts w:ascii="Cambria" w:eastAsia="Arial Unicode MS" w:hAnsi="Cambria"/>
          <w:sz w:val="19"/>
          <w:szCs w:val="19"/>
        </w:rPr>
        <w:t>Hipotētisko portfeļa vērtības izmaiņu atpakaļejošā pārbaudē salīdzina portfeļa vērtību dienas beigās un, pieņemot, ka pozīcijas nemainās, tā vērtību nākamās dienas beigās.</w:t>
      </w:r>
    </w:p>
    <w:p w:rsidR="00ED4C41" w:rsidRPr="00640637" w:rsidRDefault="00ED4C41" w:rsidP="00ED4C41">
      <w:pPr>
        <w:pStyle w:val="norm"/>
        <w:shd w:val="clear" w:color="auto" w:fill="FFFFFF"/>
        <w:spacing w:before="130" w:beforeAutospacing="0" w:after="0" w:afterAutospacing="0" w:line="260" w:lineRule="exact"/>
        <w:jc w:val="both"/>
        <w:textAlignment w:val="baseline"/>
        <w:rPr>
          <w:rFonts w:ascii="Cambria" w:eastAsia="Arial Unicode MS" w:hAnsi="Cambria"/>
          <w:sz w:val="19"/>
          <w:szCs w:val="19"/>
        </w:rPr>
      </w:pPr>
      <w:r w:rsidRPr="00640637">
        <w:rPr>
          <w:rFonts w:ascii="Cambria" w:eastAsia="Arial Unicode MS" w:hAnsi="Cambria"/>
          <w:sz w:val="19"/>
          <w:szCs w:val="19"/>
        </w:rPr>
        <w:t>Portfeļa vērtības faktisko izmaiņu atpakaļejošā pārbaudē salīdzina portfeļa vērtību dienas beigās un tā faktisko vērtību nākamās dienas beigās, neietverot maksas, komisijas un neto procentu ienākumus.</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b/>
          <w:bCs/>
          <w:sz w:val="19"/>
          <w:szCs w:val="19"/>
          <w:lang w:val="lv-LV"/>
        </w:rPr>
      </w:pPr>
      <w:r w:rsidRPr="00640637">
        <w:rPr>
          <w:rFonts w:ascii="Cambria" w:hAnsi="Cambria"/>
          <w:b/>
          <w:bCs/>
          <w:sz w:val="19"/>
          <w:szCs w:val="19"/>
          <w:lang w:val="lv-LV"/>
        </w:rPr>
        <w:t>2. Prasības attiecībā uz risku mērīšanu</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 xml:space="preserve">9. </w:t>
      </w:r>
      <w:r w:rsidRPr="00640637">
        <w:rPr>
          <w:rFonts w:ascii="Cambria" w:eastAsia="Arial Unicode MS" w:hAnsi="Cambria"/>
          <w:sz w:val="19"/>
          <w:szCs w:val="19"/>
          <w:shd w:val="clear" w:color="auto" w:fill="FFFFFF"/>
          <w:lang w:val="lv-LV"/>
        </w:rPr>
        <w:t>Iestāde var izmantot IMTR empīriskas korelācijas riska kategorijās un starp tām tikai tad, ja iestādes korelāciju aprēķina pieeja ir pamatota un to īsteno godprātīgi</w:t>
      </w:r>
      <w:r w:rsidRPr="00640637">
        <w:rPr>
          <w:rFonts w:ascii="Cambria" w:hAnsi="Cambria"/>
          <w:sz w:val="19"/>
          <w:szCs w:val="19"/>
          <w:lang w:val="lv-LV"/>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b/>
          <w:bCs/>
          <w:sz w:val="19"/>
          <w:szCs w:val="19"/>
          <w:lang w:val="lv-LV"/>
        </w:rPr>
      </w:pPr>
      <w:r>
        <w:rPr>
          <w:rFonts w:ascii="Cambria" w:hAnsi="Cambria"/>
          <w:b/>
          <w:bCs/>
          <w:sz w:val="19"/>
          <w:szCs w:val="19"/>
          <w:lang w:val="lv-LV"/>
        </w:rPr>
        <w:br w:type="page"/>
      </w:r>
      <w:r w:rsidRPr="00640637">
        <w:rPr>
          <w:rFonts w:ascii="Cambria" w:hAnsi="Cambria"/>
          <w:b/>
          <w:bCs/>
          <w:sz w:val="19"/>
          <w:szCs w:val="19"/>
          <w:lang w:val="lv-LV"/>
        </w:rPr>
        <w:lastRenderedPageBreak/>
        <w:t>2.1. Prasības attiecībā uz risku mērīšanu iekšējiem modeļiem, ko izmanto pozīcijas riska, ārvalstu valūtas riska, preču riska pašu kapitāla prasību aprēķinam un iekšējiem modeļiem korelācijas tirdzniecības portfelim</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10. Iekšējais modelis precīzi ietver nozīmīgu daļu no konkrētās riska kategorijas pozīcijām atbilstoši ES Regulas Nr. 575/2013 363. pantā noteiktajam.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11. Iekšējais modelis precīzi aptver visus būtiskos cenas riskus.</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Style w:val="apple-converted-space"/>
          <w:rFonts w:ascii="Cambria" w:eastAsia="Arial Unicode MS" w:hAnsi="Cambria" w:cs="Arial Unicode MS"/>
          <w:sz w:val="19"/>
          <w:szCs w:val="19"/>
          <w:shd w:val="clear" w:color="auto" w:fill="FFFFFF"/>
          <w:lang w:val="lv-LV"/>
        </w:rPr>
      </w:pPr>
      <w:r w:rsidRPr="00640637">
        <w:rPr>
          <w:rFonts w:ascii="Cambria" w:hAnsi="Cambria"/>
          <w:sz w:val="19"/>
          <w:szCs w:val="19"/>
          <w:lang w:val="lv-LV"/>
        </w:rPr>
        <w:t xml:space="preserve">12. </w:t>
      </w:r>
      <w:r w:rsidRPr="00640637">
        <w:rPr>
          <w:rFonts w:ascii="Cambria" w:eastAsia="Arial Unicode MS" w:hAnsi="Cambria"/>
          <w:sz w:val="19"/>
          <w:szCs w:val="19"/>
          <w:shd w:val="clear" w:color="auto" w:fill="FFFFFF"/>
          <w:lang w:val="lv-LV"/>
        </w:rPr>
        <w:t>Modelis aptver pietiekamu skaitu riska faktoru atkarībā no iestādes darbības līmeņa attiecīgajos tirgos.</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lastRenderedPageBreak/>
        <w:t xml:space="preserve">13. </w:t>
      </w:r>
      <w:r w:rsidRPr="00640637">
        <w:rPr>
          <w:rFonts w:ascii="Cambria" w:eastAsia="Arial Unicode MS" w:hAnsi="Cambria"/>
          <w:sz w:val="19"/>
          <w:szCs w:val="19"/>
          <w:shd w:val="clear" w:color="auto" w:fill="FFFFFF"/>
          <w:lang w:val="lv-LV"/>
        </w:rPr>
        <w:t>Ja riska faktors ir ietverts iestādes cenu noteikšanas modelī, bet nav ietverts riska mērīšanas modelī, iestādei šāda neietveršana jāspēj pārliecinoši pamatot kompetentajai iestādei.</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Style w:val="apple-converted-space"/>
          <w:rFonts w:ascii="Cambria" w:eastAsia="Arial Unicode MS" w:hAnsi="Cambria"/>
          <w:b w:val="0"/>
          <w:sz w:val="19"/>
          <w:szCs w:val="19"/>
          <w:shd w:val="clear" w:color="auto" w:fill="FFFFFF"/>
        </w:rPr>
      </w:pPr>
      <w:r w:rsidRPr="00640637">
        <w:rPr>
          <w:rFonts w:ascii="Cambria" w:hAnsi="Cambria"/>
          <w:b w:val="0"/>
          <w:sz w:val="19"/>
          <w:szCs w:val="19"/>
        </w:rPr>
        <w:t xml:space="preserve">14. </w:t>
      </w:r>
      <w:proofErr w:type="spellStart"/>
      <w:r w:rsidRPr="00640637">
        <w:rPr>
          <w:rFonts w:ascii="Cambria" w:eastAsia="Arial Unicode MS" w:hAnsi="Cambria"/>
          <w:b w:val="0"/>
          <w:sz w:val="19"/>
          <w:szCs w:val="19"/>
          <w:shd w:val="clear" w:color="auto" w:fill="FFFFFF"/>
        </w:rPr>
        <w:t>Riska</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mērīšanas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modelis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ietver</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iespējas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līgumu</w:t>
      </w:r>
      <w:proofErr w:type="spellEnd"/>
      <w:r w:rsidRPr="00640637">
        <w:rPr>
          <w:rFonts w:ascii="Cambria" w:eastAsia="Arial Unicode MS" w:hAnsi="Cambria"/>
          <w:b w:val="0"/>
          <w:sz w:val="19"/>
          <w:szCs w:val="19"/>
          <w:shd w:val="clear" w:color="auto" w:fill="FFFFFF"/>
        </w:rPr>
        <w:t xml:space="preserve"> </w:t>
      </w:r>
      <w:proofErr w:type="gramStart"/>
      <w:r w:rsidRPr="00640637">
        <w:rPr>
          <w:rFonts w:ascii="Cambria" w:eastAsia="Arial Unicode MS" w:hAnsi="Cambria"/>
          <w:b w:val="0"/>
          <w:sz w:val="19"/>
          <w:szCs w:val="19"/>
          <w:shd w:val="clear" w:color="auto" w:fill="FFFFFF"/>
        </w:rPr>
        <w:t>un</w:t>
      </w:r>
      <w:proofErr w:type="gram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citu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produktu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nelinearitāti</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kā</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arī</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korelācijas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risku</w:t>
      </w:r>
      <w:proofErr w:type="spellEnd"/>
      <w:r w:rsidRPr="00640637">
        <w:rPr>
          <w:rFonts w:ascii="Cambria" w:eastAsia="Arial Unicode MS" w:hAnsi="Cambria"/>
          <w:b w:val="0"/>
          <w:sz w:val="19"/>
          <w:szCs w:val="19"/>
          <w:shd w:val="clear" w:color="auto" w:fill="FFFFFF"/>
        </w:rPr>
        <w:t xml:space="preserve"> un </w:t>
      </w:r>
      <w:proofErr w:type="spellStart"/>
      <w:r w:rsidRPr="00640637">
        <w:rPr>
          <w:rFonts w:ascii="Cambria" w:eastAsia="Arial Unicode MS" w:hAnsi="Cambria"/>
          <w:b w:val="0"/>
          <w:sz w:val="19"/>
          <w:szCs w:val="19"/>
          <w:shd w:val="clear" w:color="auto" w:fill="FFFFFF"/>
        </w:rPr>
        <w:t>bāzes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risku</w:t>
      </w:r>
      <w:proofErr w:type="spellEnd"/>
      <w:r w:rsidRPr="00640637">
        <w:rPr>
          <w:rFonts w:ascii="Cambria" w:eastAsia="Arial Unicode MS" w:hAnsi="Cambria"/>
          <w:b w:val="0"/>
          <w:sz w:val="19"/>
          <w:szCs w:val="19"/>
          <w:shd w:val="clear" w:color="auto" w:fill="FFFFFF"/>
        </w:rPr>
        <w:t>.</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eastAsia="Arial Unicode MS" w:hAnsi="Cambria" w:cs="Arial Unicode MS"/>
          <w:b w:val="0"/>
          <w:sz w:val="19"/>
          <w:szCs w:val="19"/>
          <w:shd w:val="clear" w:color="auto" w:fill="FFFFFF"/>
        </w:rPr>
      </w:pPr>
      <w:r w:rsidRPr="00640637">
        <w:rPr>
          <w:rFonts w:ascii="Cambria" w:hAnsi="Cambria"/>
          <w:b w:val="0"/>
          <w:sz w:val="19"/>
          <w:szCs w:val="19"/>
        </w:rPr>
        <w:t xml:space="preserve">15. </w:t>
      </w:r>
      <w:proofErr w:type="spellStart"/>
      <w:r w:rsidRPr="00640637">
        <w:rPr>
          <w:rFonts w:ascii="Cambria" w:eastAsia="Arial Unicode MS" w:hAnsi="Cambria"/>
          <w:b w:val="0"/>
          <w:sz w:val="19"/>
          <w:szCs w:val="19"/>
          <w:shd w:val="clear" w:color="auto" w:fill="FFFFFF"/>
        </w:rPr>
        <w:t>Ja</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izmanto</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riska</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faktoru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aplēstās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vērtības</w:t>
      </w:r>
      <w:proofErr w:type="spellEnd"/>
      <w:r w:rsidRPr="00640637">
        <w:rPr>
          <w:rFonts w:ascii="Cambria" w:eastAsia="Arial Unicode MS" w:hAnsi="Cambria"/>
          <w:b w:val="0"/>
          <w:sz w:val="19"/>
          <w:szCs w:val="19"/>
          <w:shd w:val="clear" w:color="auto" w:fill="FFFFFF"/>
        </w:rPr>
        <w:t xml:space="preserve">, </w:t>
      </w:r>
      <w:proofErr w:type="spellStart"/>
      <w:proofErr w:type="gramStart"/>
      <w:r w:rsidRPr="00640637">
        <w:rPr>
          <w:rFonts w:ascii="Cambria" w:eastAsia="Arial Unicode MS" w:hAnsi="Cambria"/>
          <w:b w:val="0"/>
          <w:sz w:val="19"/>
          <w:szCs w:val="19"/>
          <w:shd w:val="clear" w:color="auto" w:fill="FFFFFF"/>
        </w:rPr>
        <w:t>tās</w:t>
      </w:r>
      <w:proofErr w:type="spellEnd"/>
      <w:proofErr w:type="gram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labi</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atspoguļo</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faktisko</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pozīciju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izmaiņas</w:t>
      </w:r>
      <w:proofErr w:type="spellEnd"/>
      <w:r w:rsidRPr="00640637">
        <w:rPr>
          <w:rFonts w:ascii="Cambria" w:eastAsia="Arial Unicode MS" w:hAnsi="Cambria" w:cs="Arial Unicode MS"/>
          <w:b w:val="0"/>
          <w:sz w:val="19"/>
          <w:szCs w:val="19"/>
          <w:shd w:val="clear" w:color="auto" w:fill="FFFFFF"/>
        </w:rPr>
        <w:t>.</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Cs w:val="0"/>
          <w:sz w:val="19"/>
          <w:szCs w:val="19"/>
        </w:rPr>
      </w:pPr>
      <w:r>
        <w:rPr>
          <w:rFonts w:ascii="Cambria" w:hAnsi="Cambria"/>
          <w:sz w:val="19"/>
          <w:szCs w:val="19"/>
        </w:rPr>
        <w:br w:type="page"/>
      </w:r>
      <w:r w:rsidRPr="00640637">
        <w:rPr>
          <w:rFonts w:ascii="Cambria" w:hAnsi="Cambria"/>
          <w:sz w:val="19"/>
          <w:szCs w:val="19"/>
        </w:rPr>
        <w:lastRenderedPageBreak/>
        <w:t xml:space="preserve">2.2. </w:t>
      </w:r>
      <w:proofErr w:type="spellStart"/>
      <w:r w:rsidRPr="00640637">
        <w:rPr>
          <w:rFonts w:ascii="Cambria" w:hAnsi="Cambria"/>
          <w:bCs w:val="0"/>
          <w:sz w:val="19"/>
          <w:szCs w:val="19"/>
        </w:rPr>
        <w:t>Prasības</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attiecībā</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uz</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risku</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mērīšanu</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iekšējiem</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modeļiem</w:t>
      </w:r>
      <w:proofErr w:type="spellEnd"/>
      <w:r w:rsidRPr="00640637">
        <w:rPr>
          <w:rFonts w:ascii="Cambria" w:hAnsi="Cambria"/>
          <w:bCs w:val="0"/>
          <w:sz w:val="19"/>
          <w:szCs w:val="19"/>
        </w:rPr>
        <w:t xml:space="preserve">, </w:t>
      </w:r>
      <w:proofErr w:type="spellStart"/>
      <w:proofErr w:type="gramStart"/>
      <w:r w:rsidRPr="00640637">
        <w:rPr>
          <w:rFonts w:ascii="Cambria" w:hAnsi="Cambria"/>
          <w:bCs w:val="0"/>
          <w:sz w:val="19"/>
          <w:szCs w:val="19"/>
        </w:rPr>
        <w:t>ko</w:t>
      </w:r>
      <w:proofErr w:type="spellEnd"/>
      <w:proofErr w:type="gramEnd"/>
      <w:r w:rsidRPr="00640637">
        <w:rPr>
          <w:rFonts w:ascii="Cambria" w:hAnsi="Cambria"/>
          <w:bCs w:val="0"/>
          <w:sz w:val="19"/>
          <w:szCs w:val="19"/>
        </w:rPr>
        <w:t xml:space="preserve"> </w:t>
      </w:r>
      <w:proofErr w:type="spellStart"/>
      <w:r w:rsidRPr="00640637">
        <w:rPr>
          <w:rFonts w:ascii="Cambria" w:hAnsi="Cambria"/>
          <w:bCs w:val="0"/>
          <w:sz w:val="19"/>
          <w:szCs w:val="19"/>
        </w:rPr>
        <w:t>izmanto</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pozīcijas</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riska</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ārvalstu</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valūtas</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riska</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vai</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preču</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riska</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pašu</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kapitāla</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prasību</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aprēķinam</w:t>
      </w:r>
      <w:proofErr w:type="spellEnd"/>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eastAsia="Arial Unicode MS" w:hAnsi="Cambria"/>
          <w:b w:val="0"/>
          <w:sz w:val="19"/>
          <w:szCs w:val="19"/>
          <w:shd w:val="clear" w:color="auto" w:fill="FFFFFF"/>
        </w:rPr>
      </w:pPr>
      <w:r w:rsidRPr="00640637">
        <w:rPr>
          <w:rFonts w:ascii="Cambria" w:hAnsi="Cambria"/>
          <w:b w:val="0"/>
          <w:sz w:val="19"/>
          <w:szCs w:val="19"/>
        </w:rPr>
        <w:t xml:space="preserve">16. </w:t>
      </w:r>
      <w:proofErr w:type="spellStart"/>
      <w:r w:rsidRPr="00640637">
        <w:rPr>
          <w:rFonts w:ascii="Cambria" w:hAnsi="Cambria"/>
          <w:b w:val="0"/>
          <w:sz w:val="19"/>
          <w:szCs w:val="19"/>
        </w:rPr>
        <w:t>Iestāde</w:t>
      </w:r>
      <w:proofErr w:type="spellEnd"/>
      <w:r w:rsidRPr="00640637">
        <w:rPr>
          <w:rFonts w:ascii="Cambria" w:hAnsi="Cambria"/>
          <w:b w:val="0"/>
          <w:sz w:val="19"/>
          <w:szCs w:val="19"/>
        </w:rPr>
        <w:t xml:space="preserve"> </w:t>
      </w:r>
      <w:proofErr w:type="spellStart"/>
      <w:r w:rsidRPr="00640637">
        <w:rPr>
          <w:rFonts w:ascii="Cambria" w:eastAsia="Arial Unicode MS" w:hAnsi="Cambria"/>
          <w:b w:val="0"/>
          <w:sz w:val="19"/>
          <w:szCs w:val="19"/>
          <w:shd w:val="clear" w:color="auto" w:fill="FFFFFF"/>
        </w:rPr>
        <w:t>modelī</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ietver</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riska</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faktoru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kopumu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kas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atbilst</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procentu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likmēm</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katrā</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valūtā</w:t>
      </w:r>
      <w:proofErr w:type="spellEnd"/>
      <w:r w:rsidRPr="00640637">
        <w:rPr>
          <w:rFonts w:ascii="Cambria" w:eastAsia="Arial Unicode MS" w:hAnsi="Cambria"/>
          <w:b w:val="0"/>
          <w:sz w:val="19"/>
          <w:szCs w:val="19"/>
          <w:shd w:val="clear" w:color="auto" w:fill="FFFFFF"/>
        </w:rPr>
        <w:t xml:space="preserve">, </w:t>
      </w:r>
      <w:proofErr w:type="spellStart"/>
      <w:proofErr w:type="gramStart"/>
      <w:r w:rsidRPr="00640637">
        <w:rPr>
          <w:rFonts w:ascii="Cambria" w:eastAsia="Arial Unicode MS" w:hAnsi="Cambria"/>
          <w:b w:val="0"/>
          <w:sz w:val="19"/>
          <w:szCs w:val="19"/>
          <w:shd w:val="clear" w:color="auto" w:fill="FFFFFF"/>
        </w:rPr>
        <w:t>kurā</w:t>
      </w:r>
      <w:proofErr w:type="spellEnd"/>
      <w:proofErr w:type="gram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iestādei</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ir</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bilances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vai</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ārpusbilances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pozīcijas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kuras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ietekmē</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procentu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likme</w:t>
      </w:r>
      <w:proofErr w:type="spellEnd"/>
      <w:r w:rsidRPr="00640637">
        <w:rPr>
          <w:rFonts w:ascii="Cambria" w:eastAsia="Arial Unicode MS" w:hAnsi="Cambria"/>
          <w:b w:val="0"/>
          <w:sz w:val="19"/>
          <w:szCs w:val="19"/>
          <w:shd w:val="clear" w:color="auto" w:fill="FFFFFF"/>
        </w:rPr>
        <w:t>.</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17. Iestāde ienesīguma līknes modelē, izmantojot kādu no vispārpieņemtām pieejām.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 xml:space="preserve">18. </w:t>
      </w:r>
      <w:r w:rsidRPr="00640637">
        <w:rPr>
          <w:rFonts w:ascii="Cambria" w:eastAsia="Arial Unicode MS" w:hAnsi="Cambria"/>
          <w:sz w:val="19"/>
          <w:szCs w:val="19"/>
          <w:lang w:val="lv-LV"/>
        </w:rPr>
        <w:t>Būtiskiem riska darījumiem ar procentu likmju risku galvenajās valūtās un tirgos ienesīguma līkni sadala vismaz sešos termiņa segmentos, lai aptvertu likmju svārstīguma atšķirības visā ienākumu līknē</w:t>
      </w:r>
      <w:r w:rsidRPr="00640637">
        <w:rPr>
          <w:rFonts w:ascii="Cambria" w:hAnsi="Cambria"/>
          <w:sz w:val="19"/>
          <w:szCs w:val="19"/>
          <w:lang w:val="lv-LV"/>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19. Iekšējais modelis aptver arī nepilnīgi korelētu svārstību starp dažādām ienesīguma līknēm risku.</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20. </w:t>
      </w:r>
      <w:proofErr w:type="spellStart"/>
      <w:r w:rsidRPr="00640637">
        <w:rPr>
          <w:rFonts w:ascii="Cambria" w:hAnsi="Cambria"/>
          <w:b w:val="0"/>
          <w:sz w:val="19"/>
          <w:szCs w:val="19"/>
        </w:rPr>
        <w:t>Iestāde</w:t>
      </w:r>
      <w:proofErr w:type="spellEnd"/>
      <w:r w:rsidRPr="00640637">
        <w:rPr>
          <w:rFonts w:ascii="Cambria" w:hAnsi="Cambria"/>
          <w:b w:val="0"/>
          <w:sz w:val="19"/>
          <w:szCs w:val="19"/>
        </w:rPr>
        <w:t xml:space="preserve"> </w:t>
      </w:r>
      <w:proofErr w:type="spellStart"/>
      <w:r w:rsidRPr="00640637">
        <w:rPr>
          <w:rFonts w:ascii="Cambria" w:eastAsia="Arial Unicode MS" w:hAnsi="Cambria"/>
          <w:b w:val="0"/>
          <w:sz w:val="19"/>
          <w:szCs w:val="19"/>
        </w:rPr>
        <w:t>modelī</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ietver</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faktorus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atbilst</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zeltam</w:t>
      </w:r>
      <w:proofErr w:type="spellEnd"/>
      <w:r w:rsidRPr="00640637">
        <w:rPr>
          <w:rFonts w:ascii="Cambria" w:eastAsia="Arial Unicode MS" w:hAnsi="Cambria"/>
          <w:b w:val="0"/>
          <w:sz w:val="19"/>
          <w:szCs w:val="19"/>
        </w:rPr>
        <w:t xml:space="preserve"> </w:t>
      </w:r>
      <w:proofErr w:type="gramStart"/>
      <w:r w:rsidRPr="00640637">
        <w:rPr>
          <w:rFonts w:ascii="Cambria" w:eastAsia="Arial Unicode MS" w:hAnsi="Cambria"/>
          <w:b w:val="0"/>
          <w:sz w:val="19"/>
          <w:szCs w:val="19"/>
        </w:rPr>
        <w:t>un</w:t>
      </w:r>
      <w:proofErr w:type="gram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atsevišķām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ārvalstu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valūtām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kurās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denominētas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iestādes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pozīcijas</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21. A</w:t>
      </w:r>
      <w:r w:rsidRPr="00640637">
        <w:rPr>
          <w:rFonts w:ascii="Cambria" w:eastAsia="Arial Unicode MS" w:hAnsi="Cambria"/>
          <w:sz w:val="19"/>
          <w:szCs w:val="19"/>
          <w:lang w:val="lv-LV"/>
        </w:rPr>
        <w:t xml:space="preserve">ttiecībā uz </w:t>
      </w:r>
      <w:r w:rsidRPr="00640637">
        <w:rPr>
          <w:rFonts w:ascii="Cambria" w:eastAsia="Arial Unicode MS" w:hAnsi="Cambria"/>
          <w:sz w:val="19"/>
          <w:szCs w:val="19"/>
          <w:shd w:val="clear" w:color="auto" w:fill="FFFFFF"/>
          <w:lang w:val="lv-LV"/>
        </w:rPr>
        <w:t xml:space="preserve">kolektīvo ieguldījumu uzņēmumu (tālāk tekstā – </w:t>
      </w:r>
      <w:r w:rsidRPr="00640637">
        <w:rPr>
          <w:rFonts w:ascii="Cambria" w:eastAsia="Arial Unicode MS" w:hAnsi="Cambria"/>
          <w:sz w:val="19"/>
          <w:szCs w:val="19"/>
          <w:lang w:val="lv-LV"/>
        </w:rPr>
        <w:t>KIU) iestāde ņem vērā KIU faktiskās ārvalstu valūtas pozīcijas</w:t>
      </w:r>
      <w:r w:rsidRPr="00640637">
        <w:rPr>
          <w:rFonts w:ascii="Cambria" w:hAnsi="Cambria"/>
          <w:sz w:val="19"/>
          <w:szCs w:val="19"/>
          <w:lang w:val="lv-LV"/>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 xml:space="preserve">22. Iestāde var paļauties uz trešo personu pārskatiem par KIU ārvalstu valūtas pozīcijām, </w:t>
      </w:r>
      <w:r w:rsidRPr="00640637">
        <w:rPr>
          <w:rFonts w:ascii="Cambria" w:eastAsia="Arial Unicode MS" w:hAnsi="Cambria"/>
          <w:sz w:val="19"/>
          <w:szCs w:val="19"/>
          <w:lang w:val="lv-LV"/>
        </w:rPr>
        <w:t>ja ir atbilstoši nodrošināta minēto pārskatu pareizība</w:t>
      </w:r>
      <w:r w:rsidRPr="00640637">
        <w:rPr>
          <w:rFonts w:ascii="Cambria" w:hAnsi="Cambria"/>
          <w:sz w:val="19"/>
          <w:szCs w:val="19"/>
          <w:lang w:val="lv-LV"/>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23. Ja</w:t>
      </w:r>
      <w:r w:rsidRPr="00640637">
        <w:rPr>
          <w:rFonts w:ascii="Cambria" w:eastAsia="Arial Unicode MS" w:hAnsi="Cambria"/>
          <w:sz w:val="19"/>
          <w:szCs w:val="19"/>
          <w:lang w:val="lv-LV"/>
        </w:rPr>
        <w:t xml:space="preserve"> iestādei nav zināmas KIU ārvalstu valūtas pozīcijas, šo pozīciju izdala un uz to attiecina </w:t>
      </w:r>
      <w:r w:rsidRPr="00640637">
        <w:rPr>
          <w:rFonts w:ascii="Cambria" w:hAnsi="Cambria"/>
          <w:sz w:val="19"/>
          <w:szCs w:val="19"/>
          <w:lang w:val="lv-LV"/>
        </w:rPr>
        <w:t>ES Regulas Nr. 575/2013 353. panta 3. punktā minēto procedūru.</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24. </w:t>
      </w:r>
      <w:proofErr w:type="spellStart"/>
      <w:r w:rsidRPr="00640637">
        <w:rPr>
          <w:rFonts w:ascii="Cambria" w:hAnsi="Cambria"/>
          <w:b w:val="0"/>
          <w:sz w:val="19"/>
          <w:szCs w:val="19"/>
        </w:rPr>
        <w:t>Iestāde</w:t>
      </w:r>
      <w:proofErr w:type="spellEnd"/>
      <w:r w:rsidRPr="00640637">
        <w:rPr>
          <w:rFonts w:ascii="Cambria" w:hAnsi="Cambria"/>
          <w:b w:val="0"/>
          <w:sz w:val="19"/>
          <w:szCs w:val="19"/>
        </w:rPr>
        <w:t xml:space="preserve"> </w:t>
      </w:r>
      <w:proofErr w:type="spellStart"/>
      <w:r w:rsidRPr="00640637">
        <w:rPr>
          <w:rFonts w:ascii="Cambria" w:eastAsia="Arial Unicode MS" w:hAnsi="Cambria"/>
          <w:b w:val="0"/>
          <w:sz w:val="19"/>
          <w:szCs w:val="19"/>
        </w:rPr>
        <w:t>modelī</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izmanto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atsevišķu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faktoru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vismaz</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katram</w:t>
      </w:r>
      <w:proofErr w:type="spellEnd"/>
      <w:r w:rsidRPr="00640637">
        <w:rPr>
          <w:rFonts w:ascii="Cambria" w:eastAsia="Arial Unicode MS" w:hAnsi="Cambria"/>
          <w:b w:val="0"/>
          <w:sz w:val="19"/>
          <w:szCs w:val="19"/>
        </w:rPr>
        <w:t xml:space="preserve"> no </w:t>
      </w:r>
      <w:proofErr w:type="spellStart"/>
      <w:r w:rsidRPr="00640637">
        <w:rPr>
          <w:rFonts w:ascii="Cambria" w:eastAsia="Arial Unicode MS" w:hAnsi="Cambria"/>
          <w:b w:val="0"/>
          <w:sz w:val="19"/>
          <w:szCs w:val="19"/>
        </w:rPr>
        <w:t>kapitāla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vērtspapīru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tirgiem</w:t>
      </w:r>
      <w:proofErr w:type="spellEnd"/>
      <w:r w:rsidRPr="00640637">
        <w:rPr>
          <w:rFonts w:ascii="Cambria" w:eastAsia="Arial Unicode MS" w:hAnsi="Cambria"/>
          <w:b w:val="0"/>
          <w:sz w:val="19"/>
          <w:szCs w:val="19"/>
        </w:rPr>
        <w:t>,</w:t>
      </w:r>
      <w:r w:rsidRPr="00640637">
        <w:rPr>
          <w:rFonts w:ascii="Cambria" w:hAnsi="Cambria"/>
          <w:b w:val="0"/>
          <w:sz w:val="19"/>
          <w:szCs w:val="19"/>
        </w:rPr>
        <w:t xml:space="preserve"> </w:t>
      </w:r>
      <w:proofErr w:type="spellStart"/>
      <w:r w:rsidRPr="00640637">
        <w:rPr>
          <w:rFonts w:ascii="Cambria" w:hAnsi="Cambria"/>
          <w:b w:val="0"/>
          <w:sz w:val="19"/>
          <w:szCs w:val="19"/>
        </w:rPr>
        <w:t>kuros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iestādei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nozīmīgas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pozīcijas</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Pr>
          <w:rFonts w:ascii="Cambria" w:hAnsi="Cambria"/>
          <w:b w:val="0"/>
          <w:sz w:val="19"/>
          <w:szCs w:val="19"/>
        </w:rPr>
        <w:br w:type="page"/>
      </w:r>
      <w:r w:rsidRPr="00640637">
        <w:rPr>
          <w:rFonts w:ascii="Cambria" w:hAnsi="Cambria"/>
          <w:b w:val="0"/>
          <w:sz w:val="19"/>
          <w:szCs w:val="19"/>
        </w:rPr>
        <w:lastRenderedPageBreak/>
        <w:t xml:space="preserve">25. </w:t>
      </w:r>
      <w:proofErr w:type="spellStart"/>
      <w:r w:rsidRPr="00640637">
        <w:rPr>
          <w:rFonts w:ascii="Cambria" w:hAnsi="Cambria"/>
          <w:b w:val="0"/>
          <w:sz w:val="19"/>
          <w:szCs w:val="19"/>
        </w:rPr>
        <w:t>Iestāde</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iekšējā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modelī</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ietver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atsevišķu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riska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faktoru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vismaz</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katrai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precei</w:t>
      </w:r>
      <w:proofErr w:type="spellEnd"/>
      <w:r w:rsidRPr="00640637">
        <w:rPr>
          <w:rFonts w:ascii="Cambria" w:hAnsi="Cambria"/>
          <w:b w:val="0"/>
          <w:sz w:val="19"/>
          <w:szCs w:val="19"/>
        </w:rPr>
        <w:t xml:space="preserve">, </w:t>
      </w:r>
      <w:proofErr w:type="spellStart"/>
      <w:proofErr w:type="gramStart"/>
      <w:r w:rsidRPr="00640637">
        <w:rPr>
          <w:rFonts w:ascii="Cambria" w:hAnsi="Cambria"/>
          <w:b w:val="0"/>
          <w:sz w:val="19"/>
          <w:szCs w:val="19"/>
        </w:rPr>
        <w:t>kurā</w:t>
      </w:r>
      <w:proofErr w:type="spellEnd"/>
      <w:proofErr w:type="gramEnd"/>
      <w:r w:rsidRPr="00640637">
        <w:rPr>
          <w:rFonts w:ascii="Cambria" w:hAnsi="Cambria"/>
          <w:b w:val="0"/>
          <w:sz w:val="19"/>
          <w:szCs w:val="19"/>
        </w:rPr>
        <w:t xml:space="preserve"> </w:t>
      </w:r>
      <w:proofErr w:type="spellStart"/>
      <w:r w:rsidRPr="00640637">
        <w:rPr>
          <w:rFonts w:ascii="Cambria" w:hAnsi="Cambria"/>
          <w:b w:val="0"/>
          <w:sz w:val="19"/>
          <w:szCs w:val="19"/>
        </w:rPr>
        <w:t>iestādei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nozīmīga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pozīcija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Iekšējais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modelis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ietver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arī</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risku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saistīts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nepilnīgu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korelāciju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starp</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līdzīgām</w:t>
      </w:r>
      <w:proofErr w:type="spellEnd"/>
      <w:r w:rsidRPr="00640637">
        <w:rPr>
          <w:rFonts w:ascii="Cambria" w:hAnsi="Cambria"/>
          <w:b w:val="0"/>
          <w:sz w:val="19"/>
          <w:szCs w:val="19"/>
        </w:rPr>
        <w:t xml:space="preserve">, bet ne </w:t>
      </w:r>
      <w:proofErr w:type="spellStart"/>
      <w:r w:rsidRPr="00640637">
        <w:rPr>
          <w:rFonts w:ascii="Cambria" w:hAnsi="Cambria"/>
          <w:b w:val="0"/>
          <w:sz w:val="19"/>
          <w:szCs w:val="19"/>
        </w:rPr>
        <w:t>identiskām</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precēm</w:t>
      </w:r>
      <w:proofErr w:type="spellEnd"/>
      <w:r w:rsidRPr="00640637">
        <w:rPr>
          <w:rFonts w:ascii="Cambria" w:hAnsi="Cambria"/>
          <w:b w:val="0"/>
          <w:sz w:val="19"/>
          <w:szCs w:val="19"/>
        </w:rPr>
        <w:t xml:space="preserve">, </w:t>
      </w:r>
      <w:proofErr w:type="gramStart"/>
      <w:r w:rsidRPr="00640637">
        <w:rPr>
          <w:rFonts w:ascii="Cambria" w:hAnsi="Cambria"/>
          <w:b w:val="0"/>
          <w:sz w:val="19"/>
          <w:szCs w:val="19"/>
        </w:rPr>
        <w:t>un</w:t>
      </w:r>
      <w:proofErr w:type="gramEnd"/>
      <w:r w:rsidRPr="00640637">
        <w:rPr>
          <w:rFonts w:ascii="Cambria" w:hAnsi="Cambria"/>
          <w:b w:val="0"/>
          <w:sz w:val="19"/>
          <w:szCs w:val="19"/>
        </w:rPr>
        <w:t xml:space="preserve"> </w:t>
      </w:r>
      <w:proofErr w:type="spellStart"/>
      <w:r w:rsidRPr="00640637">
        <w:rPr>
          <w:rFonts w:ascii="Cambria" w:eastAsia="Arial Unicode MS" w:hAnsi="Cambria"/>
          <w:b w:val="0"/>
          <w:sz w:val="19"/>
          <w:szCs w:val="19"/>
          <w:shd w:val="clear" w:color="auto" w:fill="FFFFFF"/>
        </w:rPr>
        <w:t>pakļautību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nākotnes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cenu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izmaiņām</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kas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radušās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termiņu</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nesakritības</w:t>
      </w:r>
      <w:proofErr w:type="spellEnd"/>
      <w:r w:rsidRPr="00640637">
        <w:rPr>
          <w:rFonts w:ascii="Cambria" w:eastAsia="Arial Unicode MS" w:hAnsi="Cambria"/>
          <w:b w:val="0"/>
          <w:sz w:val="19"/>
          <w:szCs w:val="19"/>
          <w:shd w:val="clear" w:color="auto" w:fill="FFFFFF"/>
        </w:rPr>
        <w:t xml:space="preserve"> </w:t>
      </w:r>
      <w:proofErr w:type="spellStart"/>
      <w:r w:rsidRPr="00640637">
        <w:rPr>
          <w:rFonts w:ascii="Cambria" w:eastAsia="Arial Unicode MS" w:hAnsi="Cambria"/>
          <w:b w:val="0"/>
          <w:sz w:val="19"/>
          <w:szCs w:val="19"/>
          <w:shd w:val="clear" w:color="auto" w:fill="FFFFFF"/>
        </w:rPr>
        <w:t>rezultātā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Tajā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ņem</w:t>
      </w:r>
      <w:proofErr w:type="spellEnd"/>
      <w:r w:rsidRPr="00640637">
        <w:rPr>
          <w:rFonts w:ascii="Cambria" w:hAnsi="Cambria"/>
          <w:b w:val="0"/>
          <w:sz w:val="19"/>
          <w:szCs w:val="19"/>
        </w:rPr>
        <w:t xml:space="preserve"> </w:t>
      </w:r>
      <w:proofErr w:type="spellStart"/>
      <w:proofErr w:type="gramStart"/>
      <w:r w:rsidRPr="00640637">
        <w:rPr>
          <w:rFonts w:ascii="Cambria" w:hAnsi="Cambria"/>
          <w:b w:val="0"/>
          <w:sz w:val="19"/>
          <w:szCs w:val="19"/>
        </w:rPr>
        <w:t>vērā</w:t>
      </w:r>
      <w:proofErr w:type="spellEnd"/>
      <w:proofErr w:type="gramEnd"/>
      <w:r w:rsidRPr="00640637">
        <w:rPr>
          <w:rFonts w:ascii="Cambria" w:hAnsi="Cambria"/>
          <w:b w:val="0"/>
          <w:sz w:val="19"/>
          <w:szCs w:val="19"/>
        </w:rPr>
        <w:t xml:space="preserve"> </w:t>
      </w:r>
      <w:proofErr w:type="spellStart"/>
      <w:r w:rsidRPr="00640637">
        <w:rPr>
          <w:rFonts w:ascii="Cambria" w:hAnsi="Cambria"/>
          <w:b w:val="0"/>
          <w:sz w:val="19"/>
          <w:szCs w:val="19"/>
        </w:rPr>
        <w:t>arī</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tirgus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īpatnības</w:t>
      </w:r>
      <w:proofErr w:type="spellEnd"/>
      <w:r w:rsidRPr="00640637">
        <w:rPr>
          <w:rFonts w:ascii="Cambria" w:hAnsi="Cambria"/>
          <w:b w:val="0"/>
          <w:sz w:val="19"/>
          <w:szCs w:val="19"/>
        </w:rPr>
        <w:t xml:space="preserve">, jo </w:t>
      </w:r>
      <w:proofErr w:type="spellStart"/>
      <w:r w:rsidRPr="00640637">
        <w:rPr>
          <w:rFonts w:ascii="Cambria" w:hAnsi="Cambria"/>
          <w:b w:val="0"/>
          <w:sz w:val="19"/>
          <w:szCs w:val="19"/>
        </w:rPr>
        <w:t>īpaši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piegādes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datumus</w:t>
      </w:r>
      <w:proofErr w:type="spellEnd"/>
      <w:r w:rsidRPr="00640637">
        <w:rPr>
          <w:rFonts w:ascii="Cambria" w:hAnsi="Cambria"/>
          <w:b w:val="0"/>
          <w:sz w:val="19"/>
          <w:szCs w:val="19"/>
        </w:rPr>
        <w:t xml:space="preserve"> un </w:t>
      </w:r>
      <w:proofErr w:type="spellStart"/>
      <w:r w:rsidRPr="00640637">
        <w:rPr>
          <w:rFonts w:ascii="Cambria" w:hAnsi="Cambria"/>
          <w:b w:val="0"/>
          <w:sz w:val="19"/>
          <w:szCs w:val="19"/>
        </w:rPr>
        <w:t>tirgotājiem</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paredzētās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iespējas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slēgt</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pozīcijas</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eastAsia="Arial Unicode MS" w:hAnsi="Cambria"/>
          <w:sz w:val="19"/>
          <w:szCs w:val="19"/>
          <w:shd w:val="clear" w:color="auto" w:fill="FFFFFF"/>
          <w:lang w:val="lv-LV"/>
        </w:rPr>
      </w:pPr>
      <w:r w:rsidRPr="00640637">
        <w:rPr>
          <w:rFonts w:ascii="Cambria" w:hAnsi="Cambria"/>
          <w:sz w:val="19"/>
          <w:szCs w:val="19"/>
          <w:lang w:val="lv-LV"/>
        </w:rPr>
        <w:t xml:space="preserve">26. </w:t>
      </w:r>
      <w:r w:rsidRPr="00640637">
        <w:rPr>
          <w:rFonts w:ascii="Cambria" w:eastAsia="Arial Unicode MS" w:hAnsi="Cambria"/>
          <w:sz w:val="19"/>
          <w:szCs w:val="19"/>
          <w:shd w:val="clear" w:color="auto" w:fill="FFFFFF"/>
          <w:lang w:val="lv-LV"/>
        </w:rPr>
        <w:t xml:space="preserve">Iestādes iekšējais modelis, balstoties uz reālistiskiem tirgus scenārijiem, piesardzīgi novērtē risku, kas rodas no mazāk likvīdām pozīcijām un pozīcijām ar ierobežotu cenu </w:t>
      </w:r>
      <w:proofErr w:type="spellStart"/>
      <w:r w:rsidRPr="00640637">
        <w:rPr>
          <w:rFonts w:ascii="Cambria" w:eastAsia="Arial Unicode MS" w:hAnsi="Cambria"/>
          <w:sz w:val="19"/>
          <w:szCs w:val="19"/>
          <w:shd w:val="clear" w:color="auto" w:fill="FFFFFF"/>
          <w:lang w:val="lv-LV"/>
        </w:rPr>
        <w:t>pārredzamību</w:t>
      </w:r>
      <w:proofErr w:type="spellEnd"/>
      <w:r w:rsidRPr="00640637">
        <w:rPr>
          <w:rFonts w:ascii="Cambria" w:eastAsia="Arial Unicode MS" w:hAnsi="Cambria"/>
          <w:sz w:val="19"/>
          <w:szCs w:val="19"/>
          <w:shd w:val="clear" w:color="auto" w:fill="FFFFFF"/>
          <w:lang w:val="lv-LV"/>
        </w:rPr>
        <w:t>. Turklāt iekšējais modelis atbilst obligātajiem datu standartiem. Aplēstās vērtības ir pietiekami konservatīvas, un tās izmanto tikai tur, kur pieejamie dati ir nepietiekami vai neatspoguļo pozīcijas vai portfeļa patieso svārstīgumu.</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366B1B" w:rsidTr="00F1293D">
        <w:tc>
          <w:tcPr>
            <w:tcW w:w="697"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366B1B" w:rsidRDefault="00ED4C41" w:rsidP="00F1293D">
            <w:pPr>
              <w:jc w:val="center"/>
              <w:rPr>
                <w:rFonts w:ascii="Cambria" w:hAnsi="Cambria"/>
                <w:sz w:val="19"/>
                <w:szCs w:val="19"/>
                <w:lang w:val="lv-LV"/>
              </w:rPr>
            </w:pPr>
            <w:r w:rsidRPr="00366B1B">
              <w:rPr>
                <w:rFonts w:ascii="Cambria" w:hAnsi="Cambria"/>
                <w:sz w:val="19"/>
                <w:szCs w:val="19"/>
                <w:lang w:val="lv-LV"/>
              </w:rPr>
              <w:t>Atsauce uz iestādes iekšējiem dokumentiem, norādot atbilstošo punktu</w:t>
            </w:r>
          </w:p>
        </w:tc>
      </w:tr>
      <w:tr w:rsidR="00ED4C41" w:rsidRPr="00366B1B" w:rsidTr="00F1293D">
        <w:tc>
          <w:tcPr>
            <w:tcW w:w="697"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366B1B"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366B1B"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bCs w:val="0"/>
          <w:sz w:val="19"/>
          <w:szCs w:val="19"/>
        </w:rPr>
      </w:pPr>
    </w:p>
    <w:p w:rsidR="00ED4C41" w:rsidRPr="00640637" w:rsidRDefault="00ED4C41" w:rsidP="00ED4C41">
      <w:pPr>
        <w:pStyle w:val="BodyText"/>
        <w:spacing w:before="130" w:line="260" w:lineRule="exact"/>
        <w:jc w:val="both"/>
        <w:rPr>
          <w:rFonts w:ascii="Cambria" w:hAnsi="Cambria"/>
          <w:bCs w:val="0"/>
          <w:sz w:val="19"/>
          <w:szCs w:val="19"/>
        </w:rPr>
      </w:pPr>
      <w:r>
        <w:rPr>
          <w:rFonts w:ascii="Cambria" w:hAnsi="Cambria"/>
          <w:bCs w:val="0"/>
          <w:sz w:val="19"/>
          <w:szCs w:val="19"/>
        </w:rPr>
        <w:br w:type="page"/>
      </w:r>
      <w:r w:rsidRPr="00640637">
        <w:rPr>
          <w:rFonts w:ascii="Cambria" w:hAnsi="Cambria"/>
          <w:bCs w:val="0"/>
          <w:sz w:val="19"/>
          <w:szCs w:val="19"/>
        </w:rPr>
        <w:lastRenderedPageBreak/>
        <w:t xml:space="preserve">3. </w:t>
      </w:r>
      <w:proofErr w:type="spellStart"/>
      <w:r w:rsidRPr="00640637">
        <w:rPr>
          <w:rFonts w:ascii="Cambria" w:hAnsi="Cambria"/>
          <w:bCs w:val="0"/>
          <w:sz w:val="19"/>
          <w:szCs w:val="19"/>
        </w:rPr>
        <w:t>Kvalitatīvās</w:t>
      </w:r>
      <w:proofErr w:type="spellEnd"/>
      <w:r w:rsidRPr="00640637">
        <w:rPr>
          <w:rFonts w:ascii="Cambria" w:hAnsi="Cambria"/>
          <w:bCs w:val="0"/>
          <w:sz w:val="19"/>
          <w:szCs w:val="19"/>
        </w:rPr>
        <w:t xml:space="preserve"> </w:t>
      </w:r>
      <w:proofErr w:type="spellStart"/>
      <w:r w:rsidRPr="00640637">
        <w:rPr>
          <w:rFonts w:ascii="Cambria" w:hAnsi="Cambria"/>
          <w:bCs w:val="0"/>
          <w:sz w:val="19"/>
          <w:szCs w:val="19"/>
        </w:rPr>
        <w:t>prasības</w:t>
      </w:r>
      <w:proofErr w:type="spellEnd"/>
    </w:p>
    <w:p w:rsidR="00ED4C41" w:rsidRPr="00640637" w:rsidRDefault="00ED4C41" w:rsidP="00ED4C41">
      <w:pPr>
        <w:pStyle w:val="BodyText"/>
        <w:spacing w:before="130" w:line="260" w:lineRule="exact"/>
        <w:jc w:val="both"/>
        <w:rPr>
          <w:rFonts w:ascii="Cambria" w:hAnsi="Cambria"/>
          <w:b w:val="0"/>
          <w:iCs/>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27. IMTR </w:t>
      </w:r>
      <w:proofErr w:type="spellStart"/>
      <w:r w:rsidRPr="00640637">
        <w:rPr>
          <w:rFonts w:ascii="Cambria" w:hAnsi="Cambria"/>
          <w:b w:val="0"/>
          <w:sz w:val="19"/>
          <w:szCs w:val="19"/>
        </w:rPr>
        <w:t>ir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konceptuāli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pamatoti</w:t>
      </w:r>
      <w:proofErr w:type="spellEnd"/>
      <w:r w:rsidRPr="00640637">
        <w:rPr>
          <w:rFonts w:ascii="Cambria" w:hAnsi="Cambria"/>
          <w:b w:val="0"/>
          <w:sz w:val="19"/>
          <w:szCs w:val="19"/>
        </w:rPr>
        <w:t xml:space="preserve"> </w:t>
      </w:r>
      <w:proofErr w:type="gramStart"/>
      <w:r w:rsidRPr="00640637">
        <w:rPr>
          <w:rFonts w:ascii="Cambria" w:hAnsi="Cambria"/>
          <w:b w:val="0"/>
          <w:sz w:val="19"/>
          <w:szCs w:val="19"/>
        </w:rPr>
        <w:t>un</w:t>
      </w:r>
      <w:proofErr w:type="gramEnd"/>
      <w:r w:rsidRPr="00640637">
        <w:rPr>
          <w:rFonts w:ascii="Cambria" w:hAnsi="Cambria"/>
          <w:b w:val="0"/>
          <w:sz w:val="19"/>
          <w:szCs w:val="19"/>
        </w:rPr>
        <w:t xml:space="preserve"> </w:t>
      </w:r>
      <w:proofErr w:type="spellStart"/>
      <w:r w:rsidRPr="00640637">
        <w:rPr>
          <w:rFonts w:ascii="Cambria" w:hAnsi="Cambria"/>
          <w:b w:val="0"/>
          <w:sz w:val="19"/>
          <w:szCs w:val="19"/>
        </w:rPr>
        <w:t>godprātīgi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īstenoti</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28. </w:t>
      </w:r>
      <w:proofErr w:type="spellStart"/>
      <w:r w:rsidRPr="00640637">
        <w:rPr>
          <w:rFonts w:ascii="Cambria" w:hAnsi="Cambria"/>
          <w:b w:val="0"/>
          <w:sz w:val="19"/>
          <w:szCs w:val="19"/>
        </w:rPr>
        <w:t>I</w:t>
      </w:r>
      <w:r w:rsidRPr="00640637">
        <w:rPr>
          <w:rFonts w:ascii="Cambria" w:eastAsia="Arial Unicode MS" w:hAnsi="Cambria"/>
          <w:b w:val="0"/>
          <w:sz w:val="19"/>
          <w:szCs w:val="19"/>
        </w:rPr>
        <w:t>ekšējie</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modeļi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izmanto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lai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aprēķinātu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kapitāla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prasības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pozīcijas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ārvalstu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valūtas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vai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preču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ir</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tieši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iekļauti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iestādes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ikdienas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pārvaldības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procesā</w:t>
      </w:r>
      <w:proofErr w:type="spellEnd"/>
      <w:r w:rsidRPr="00640637">
        <w:rPr>
          <w:rFonts w:ascii="Cambria" w:eastAsia="Arial Unicode MS" w:hAnsi="Cambria"/>
          <w:b w:val="0"/>
          <w:sz w:val="19"/>
          <w:szCs w:val="19"/>
        </w:rPr>
        <w:t xml:space="preserve"> un </w:t>
      </w:r>
      <w:proofErr w:type="spellStart"/>
      <w:r w:rsidRPr="00640637">
        <w:rPr>
          <w:rFonts w:ascii="Cambria" w:eastAsia="Arial Unicode MS" w:hAnsi="Cambria"/>
          <w:b w:val="0"/>
          <w:sz w:val="19"/>
          <w:szCs w:val="19"/>
        </w:rPr>
        <w:t>kalpo</w:t>
      </w:r>
      <w:proofErr w:type="spellEnd"/>
      <w:r w:rsidRPr="00640637">
        <w:rPr>
          <w:rFonts w:ascii="Cambria" w:eastAsia="Arial Unicode MS" w:hAnsi="Cambria"/>
          <w:b w:val="0"/>
          <w:sz w:val="19"/>
          <w:szCs w:val="19"/>
        </w:rPr>
        <w:t xml:space="preserve"> par </w:t>
      </w:r>
      <w:proofErr w:type="spellStart"/>
      <w:r w:rsidRPr="00640637">
        <w:rPr>
          <w:rFonts w:ascii="Cambria" w:eastAsia="Arial Unicode MS" w:hAnsi="Cambria"/>
          <w:b w:val="0"/>
          <w:sz w:val="19"/>
          <w:szCs w:val="19"/>
        </w:rPr>
        <w:t>pamatu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pārskatam</w:t>
      </w:r>
      <w:proofErr w:type="spellEnd"/>
      <w:r w:rsidRPr="00640637">
        <w:rPr>
          <w:rFonts w:ascii="Cambria" w:eastAsia="Arial Unicode MS" w:hAnsi="Cambria"/>
          <w:b w:val="0"/>
          <w:sz w:val="19"/>
          <w:szCs w:val="19"/>
        </w:rPr>
        <w:t xml:space="preserve"> par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darījumiem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iestādes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augstākajai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vadībai</w:t>
      </w:r>
      <w:proofErr w:type="spellEnd"/>
      <w:r w:rsidRPr="00640637">
        <w:rPr>
          <w:rFonts w:ascii="Cambria" w:hAnsi="Cambria"/>
          <w:b w:val="0"/>
          <w:sz w:val="19"/>
          <w:szCs w:val="19"/>
        </w:rPr>
        <w:t>.</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29. </w:t>
      </w:r>
      <w:proofErr w:type="spellStart"/>
      <w:r w:rsidRPr="00640637">
        <w:rPr>
          <w:rFonts w:ascii="Cambria" w:hAnsi="Cambria"/>
          <w:b w:val="0"/>
          <w:sz w:val="19"/>
          <w:szCs w:val="19"/>
        </w:rPr>
        <w:t>Iestādē</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izveidota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risku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kontroles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struktūrvienība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neatkarīga</w:t>
      </w:r>
      <w:proofErr w:type="spellEnd"/>
      <w:r w:rsidRPr="00640637">
        <w:rPr>
          <w:rFonts w:ascii="Cambria" w:hAnsi="Cambria"/>
          <w:b w:val="0"/>
          <w:sz w:val="19"/>
          <w:szCs w:val="19"/>
        </w:rPr>
        <w:t xml:space="preserve"> no </w:t>
      </w:r>
      <w:proofErr w:type="spellStart"/>
      <w:r w:rsidRPr="00640637">
        <w:rPr>
          <w:rFonts w:ascii="Cambria" w:hAnsi="Cambria"/>
          <w:b w:val="0"/>
          <w:sz w:val="19"/>
          <w:szCs w:val="19"/>
        </w:rPr>
        <w:t>tirdzniecības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struktūrvienībām</w:t>
      </w:r>
      <w:proofErr w:type="spellEnd"/>
      <w:r w:rsidRPr="00640637">
        <w:rPr>
          <w:rFonts w:ascii="Cambria" w:hAnsi="Cambria"/>
          <w:b w:val="0"/>
          <w:sz w:val="19"/>
          <w:szCs w:val="19"/>
        </w:rPr>
        <w:t xml:space="preserve"> </w:t>
      </w:r>
      <w:proofErr w:type="gramStart"/>
      <w:r w:rsidRPr="00640637">
        <w:rPr>
          <w:rFonts w:ascii="Cambria" w:hAnsi="Cambria"/>
          <w:b w:val="0"/>
          <w:sz w:val="19"/>
          <w:szCs w:val="19"/>
        </w:rPr>
        <w:t>un</w:t>
      </w:r>
      <w:proofErr w:type="gramEnd"/>
      <w:r w:rsidRPr="00640637">
        <w:rPr>
          <w:rFonts w:ascii="Cambria" w:hAnsi="Cambria"/>
          <w:b w:val="0"/>
          <w:sz w:val="19"/>
          <w:szCs w:val="19"/>
        </w:rPr>
        <w:t xml:space="preserve"> </w:t>
      </w:r>
      <w:proofErr w:type="spellStart"/>
      <w:r w:rsidRPr="00640637">
        <w:rPr>
          <w:rFonts w:ascii="Cambria" w:hAnsi="Cambria"/>
          <w:b w:val="0"/>
          <w:sz w:val="19"/>
          <w:szCs w:val="19"/>
        </w:rPr>
        <w:t>ir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tieši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pakļauta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augstākajai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vadībai</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lastRenderedPageBreak/>
        <w:t xml:space="preserve">30. </w:t>
      </w:r>
      <w:proofErr w:type="spellStart"/>
      <w:r w:rsidRPr="00640637">
        <w:rPr>
          <w:rFonts w:ascii="Cambria" w:hAnsi="Cambria"/>
          <w:b w:val="0"/>
          <w:sz w:val="19"/>
          <w:szCs w:val="19"/>
        </w:rPr>
        <w:t>Risku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kontroles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struktūrvienība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izveidota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saskaņā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ar</w:t>
      </w:r>
      <w:proofErr w:type="spellEnd"/>
      <w:r w:rsidRPr="00640637">
        <w:rPr>
          <w:rFonts w:ascii="Cambria" w:hAnsi="Cambria"/>
          <w:b w:val="0"/>
          <w:sz w:val="19"/>
          <w:szCs w:val="19"/>
        </w:rPr>
        <w:t xml:space="preserve"> ES </w:t>
      </w:r>
      <w:proofErr w:type="spellStart"/>
      <w:r w:rsidRPr="00640637">
        <w:rPr>
          <w:rFonts w:ascii="Cambria" w:hAnsi="Cambria"/>
          <w:b w:val="0"/>
          <w:sz w:val="19"/>
          <w:szCs w:val="19"/>
        </w:rPr>
        <w:t>Regulas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Nr</w:t>
      </w:r>
      <w:proofErr w:type="spellEnd"/>
      <w:r w:rsidRPr="00640637">
        <w:rPr>
          <w:rFonts w:ascii="Cambria" w:hAnsi="Cambria"/>
          <w:b w:val="0"/>
          <w:sz w:val="19"/>
          <w:szCs w:val="19"/>
        </w:rPr>
        <w:t xml:space="preserve">. 575/2013 368. </w:t>
      </w:r>
      <w:proofErr w:type="spellStart"/>
      <w:r w:rsidRPr="00640637">
        <w:rPr>
          <w:rFonts w:ascii="Cambria" w:hAnsi="Cambria"/>
          <w:b w:val="0"/>
          <w:sz w:val="19"/>
          <w:szCs w:val="19"/>
        </w:rPr>
        <w:t>pantu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atbild</w:t>
      </w:r>
      <w:proofErr w:type="spellEnd"/>
      <w:r w:rsidRPr="00640637">
        <w:rPr>
          <w:rFonts w:ascii="Cambria" w:hAnsi="Cambria"/>
          <w:b w:val="0"/>
          <w:sz w:val="19"/>
          <w:szCs w:val="19"/>
        </w:rPr>
        <w:t xml:space="preserve"> par </w:t>
      </w:r>
      <w:proofErr w:type="spellStart"/>
      <w:r w:rsidRPr="00640637">
        <w:rPr>
          <w:rFonts w:ascii="Cambria" w:hAnsi="Cambria"/>
          <w:b w:val="0"/>
          <w:sz w:val="19"/>
          <w:szCs w:val="19"/>
        </w:rPr>
        <w:t>iestādes</w:t>
      </w:r>
      <w:proofErr w:type="spellEnd"/>
      <w:r w:rsidRPr="00640637">
        <w:rPr>
          <w:rFonts w:ascii="Cambria" w:hAnsi="Cambria"/>
          <w:b w:val="0"/>
          <w:sz w:val="19"/>
          <w:szCs w:val="19"/>
        </w:rPr>
        <w:t xml:space="preserve"> IMTR</w:t>
      </w:r>
      <w:r w:rsidRPr="00640637" w:rsidDel="002742F0">
        <w:rPr>
          <w:rFonts w:ascii="Cambria" w:hAnsi="Cambria"/>
          <w:b w:val="0"/>
          <w:sz w:val="19"/>
          <w:szCs w:val="19"/>
        </w:rPr>
        <w:t xml:space="preserve"> </w:t>
      </w:r>
      <w:proofErr w:type="spellStart"/>
      <w:r w:rsidRPr="00640637">
        <w:rPr>
          <w:rFonts w:ascii="Cambria" w:hAnsi="Cambria"/>
          <w:b w:val="0"/>
          <w:sz w:val="19"/>
          <w:szCs w:val="19"/>
        </w:rPr>
        <w:t>izveidošanu</w:t>
      </w:r>
      <w:proofErr w:type="spellEnd"/>
      <w:r w:rsidRPr="00640637">
        <w:rPr>
          <w:rFonts w:ascii="Cambria" w:hAnsi="Cambria"/>
          <w:b w:val="0"/>
          <w:sz w:val="19"/>
          <w:szCs w:val="19"/>
        </w:rPr>
        <w:t xml:space="preserve"> un </w:t>
      </w:r>
      <w:proofErr w:type="spellStart"/>
      <w:r w:rsidRPr="00640637">
        <w:rPr>
          <w:rFonts w:ascii="Cambria" w:hAnsi="Cambria"/>
          <w:b w:val="0"/>
          <w:sz w:val="19"/>
          <w:szCs w:val="19"/>
        </w:rPr>
        <w:t>ieviešanu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sagatavo</w:t>
      </w:r>
      <w:proofErr w:type="spellEnd"/>
      <w:r w:rsidRPr="00640637">
        <w:rPr>
          <w:rFonts w:ascii="Cambria" w:hAnsi="Cambria"/>
          <w:b w:val="0"/>
          <w:sz w:val="19"/>
          <w:szCs w:val="19"/>
        </w:rPr>
        <w:t xml:space="preserve"> un </w:t>
      </w:r>
      <w:proofErr w:type="spellStart"/>
      <w:r w:rsidRPr="00640637">
        <w:rPr>
          <w:rFonts w:ascii="Cambria" w:hAnsi="Cambria"/>
          <w:b w:val="0"/>
          <w:sz w:val="19"/>
          <w:szCs w:val="19"/>
        </w:rPr>
        <w:t>analizē</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ikdienas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pārskatus</w:t>
      </w:r>
      <w:proofErr w:type="spellEnd"/>
      <w:r w:rsidRPr="00640637">
        <w:rPr>
          <w:rFonts w:ascii="Cambria" w:hAnsi="Cambria"/>
          <w:b w:val="0"/>
          <w:sz w:val="19"/>
          <w:szCs w:val="19"/>
        </w:rPr>
        <w:t xml:space="preserve"> </w:t>
      </w:r>
      <w:r w:rsidRPr="00640637">
        <w:rPr>
          <w:rFonts w:ascii="Cambria" w:eastAsia="Arial Unicode MS" w:hAnsi="Cambria"/>
          <w:b w:val="0"/>
          <w:sz w:val="19"/>
          <w:szCs w:val="19"/>
        </w:rPr>
        <w:t xml:space="preserve">par </w:t>
      </w:r>
      <w:proofErr w:type="spellStart"/>
      <w:r w:rsidRPr="00640637">
        <w:rPr>
          <w:rFonts w:ascii="Cambria" w:eastAsia="Arial Unicode MS" w:hAnsi="Cambria"/>
          <w:b w:val="0"/>
          <w:sz w:val="19"/>
          <w:szCs w:val="19"/>
        </w:rPr>
        <w:t>iekšējā</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modeļa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izmanto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lai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aprēķinātu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kapitāla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prasības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pozīcijas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ārvalstu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valūtas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vai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preču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rezultātiem</w:t>
      </w:r>
      <w:proofErr w:type="spellEnd"/>
      <w:r w:rsidRPr="00640637">
        <w:rPr>
          <w:rFonts w:ascii="Cambria" w:eastAsia="Arial Unicode MS" w:hAnsi="Cambria"/>
          <w:b w:val="0"/>
          <w:sz w:val="19"/>
          <w:szCs w:val="19"/>
        </w:rPr>
        <w:t xml:space="preserve"> un par </w:t>
      </w:r>
      <w:proofErr w:type="spellStart"/>
      <w:r w:rsidRPr="00640637">
        <w:rPr>
          <w:rFonts w:ascii="Cambria" w:eastAsia="Arial Unicode MS" w:hAnsi="Cambria"/>
          <w:b w:val="0"/>
          <w:sz w:val="19"/>
          <w:szCs w:val="19"/>
        </w:rPr>
        <w:t>atbilstīgiem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pasākumiem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jāīsteno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saistībā</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ar</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tirdzniecības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limitiem</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31. </w:t>
      </w:r>
      <w:proofErr w:type="spellStart"/>
      <w:r w:rsidRPr="00640637">
        <w:rPr>
          <w:rFonts w:ascii="Cambria" w:hAnsi="Cambria"/>
          <w:b w:val="0"/>
          <w:sz w:val="19"/>
          <w:szCs w:val="19"/>
        </w:rPr>
        <w:t>Risku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kontroles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struktūrvienība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izveidota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saskaņā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ar</w:t>
      </w:r>
      <w:proofErr w:type="spellEnd"/>
      <w:r w:rsidRPr="00640637">
        <w:rPr>
          <w:rFonts w:ascii="Cambria" w:hAnsi="Cambria"/>
          <w:b w:val="0"/>
          <w:sz w:val="19"/>
          <w:szCs w:val="19"/>
        </w:rPr>
        <w:t xml:space="preserve"> ES </w:t>
      </w:r>
      <w:proofErr w:type="spellStart"/>
      <w:r w:rsidRPr="00640637">
        <w:rPr>
          <w:rFonts w:ascii="Cambria" w:hAnsi="Cambria"/>
          <w:b w:val="0"/>
          <w:sz w:val="19"/>
          <w:szCs w:val="19"/>
        </w:rPr>
        <w:t>Regulas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Nr</w:t>
      </w:r>
      <w:proofErr w:type="spellEnd"/>
      <w:r w:rsidRPr="00640637">
        <w:rPr>
          <w:rFonts w:ascii="Cambria" w:hAnsi="Cambria"/>
          <w:b w:val="0"/>
          <w:sz w:val="19"/>
          <w:szCs w:val="19"/>
        </w:rPr>
        <w:t xml:space="preserve">. 575/2013 368. </w:t>
      </w:r>
      <w:proofErr w:type="spellStart"/>
      <w:proofErr w:type="gramStart"/>
      <w:r w:rsidRPr="00640637">
        <w:rPr>
          <w:rFonts w:ascii="Cambria" w:hAnsi="Cambria"/>
          <w:b w:val="0"/>
          <w:sz w:val="19"/>
          <w:szCs w:val="19"/>
        </w:rPr>
        <w:t>pantu</w:t>
      </w:r>
      <w:proofErr w:type="spellEnd"/>
      <w:proofErr w:type="gram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saskaņā</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ar</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savu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atbildību</w:t>
      </w:r>
      <w:proofErr w:type="spellEnd"/>
      <w:r w:rsidRPr="00640637">
        <w:rPr>
          <w:rFonts w:ascii="Cambria" w:eastAsia="Arial Unicode MS" w:hAnsi="Cambria"/>
          <w:b w:val="0"/>
          <w:sz w:val="19"/>
          <w:szCs w:val="19"/>
        </w:rPr>
        <w:t xml:space="preserve"> par </w:t>
      </w:r>
      <w:proofErr w:type="spellStart"/>
      <w:r w:rsidRPr="00640637">
        <w:rPr>
          <w:rFonts w:ascii="Cambria" w:eastAsia="Arial Unicode MS" w:hAnsi="Cambria"/>
          <w:b w:val="0"/>
          <w:sz w:val="19"/>
          <w:szCs w:val="19"/>
        </w:rPr>
        <w:t>vispārējo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pārvaldības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sistēmu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veic</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sākotnējo</w:t>
      </w:r>
      <w:proofErr w:type="spellEnd"/>
      <w:r w:rsidRPr="00640637">
        <w:rPr>
          <w:rFonts w:ascii="Cambria" w:eastAsia="Arial Unicode MS" w:hAnsi="Cambria"/>
          <w:b w:val="0"/>
          <w:sz w:val="19"/>
          <w:szCs w:val="19"/>
        </w:rPr>
        <w:t xml:space="preserve"> un </w:t>
      </w:r>
      <w:proofErr w:type="spellStart"/>
      <w:r w:rsidRPr="00640637">
        <w:rPr>
          <w:rFonts w:ascii="Cambria" w:eastAsia="Arial Unicode MS" w:hAnsi="Cambria"/>
          <w:b w:val="0"/>
          <w:sz w:val="19"/>
          <w:szCs w:val="19"/>
        </w:rPr>
        <w:t>pastāvīgo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validāciju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visiem</w:t>
      </w:r>
      <w:proofErr w:type="spellEnd"/>
      <w:r w:rsidRPr="00640637">
        <w:rPr>
          <w:rFonts w:ascii="Cambria" w:eastAsia="Arial Unicode MS" w:hAnsi="Cambria"/>
          <w:b w:val="0"/>
          <w:sz w:val="19"/>
          <w:szCs w:val="19"/>
        </w:rPr>
        <w:t xml:space="preserve"> IMTR</w:t>
      </w:r>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eastAsia="Arial Unicode MS" w:hAnsi="Cambria"/>
          <w:b w:val="0"/>
          <w:sz w:val="19"/>
          <w:szCs w:val="19"/>
        </w:rPr>
      </w:pPr>
      <w:r w:rsidRPr="00640637">
        <w:rPr>
          <w:rFonts w:ascii="Cambria" w:hAnsi="Cambria"/>
          <w:b w:val="0"/>
          <w:sz w:val="19"/>
          <w:szCs w:val="19"/>
        </w:rPr>
        <w:t xml:space="preserve">32. </w:t>
      </w:r>
      <w:proofErr w:type="spellStart"/>
      <w:r w:rsidRPr="00640637">
        <w:rPr>
          <w:rFonts w:ascii="Cambria" w:hAnsi="Cambria"/>
          <w:b w:val="0"/>
          <w:sz w:val="19"/>
          <w:szCs w:val="19"/>
        </w:rPr>
        <w:t>Iestādes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vadības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struktūra</w:t>
      </w:r>
      <w:proofErr w:type="spellEnd"/>
      <w:r w:rsidRPr="00640637">
        <w:rPr>
          <w:rFonts w:ascii="Cambria" w:hAnsi="Cambria"/>
          <w:b w:val="0"/>
          <w:sz w:val="19"/>
          <w:szCs w:val="19"/>
        </w:rPr>
        <w:t xml:space="preserve"> un </w:t>
      </w:r>
      <w:proofErr w:type="spellStart"/>
      <w:r w:rsidRPr="00640637">
        <w:rPr>
          <w:rFonts w:ascii="Cambria" w:hAnsi="Cambria"/>
          <w:b w:val="0"/>
          <w:sz w:val="19"/>
          <w:szCs w:val="19"/>
        </w:rPr>
        <w:t>augstākā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vadība</w:t>
      </w:r>
      <w:proofErr w:type="spellEnd"/>
      <w:r w:rsidRPr="00640637">
        <w:rPr>
          <w:rFonts w:ascii="Cambria" w:hAnsi="Cambria"/>
          <w:b w:val="0"/>
          <w:sz w:val="19"/>
          <w:szCs w:val="19"/>
        </w:rPr>
        <w:t xml:space="preserve"> </w:t>
      </w:r>
      <w:proofErr w:type="spellStart"/>
      <w:r w:rsidRPr="00640637">
        <w:rPr>
          <w:rFonts w:ascii="Cambria" w:eastAsia="Arial Unicode MS" w:hAnsi="Cambria"/>
          <w:b w:val="0"/>
          <w:sz w:val="19"/>
          <w:szCs w:val="19"/>
        </w:rPr>
        <w:t>aktīvi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iesaistās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kontroles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procesā</w:t>
      </w:r>
      <w:proofErr w:type="spellEnd"/>
      <w:r w:rsidRPr="00640637">
        <w:rPr>
          <w:rFonts w:ascii="Cambria" w:eastAsia="Arial Unicode MS" w:hAnsi="Cambria"/>
          <w:b w:val="0"/>
          <w:sz w:val="19"/>
          <w:szCs w:val="19"/>
        </w:rPr>
        <w:t xml:space="preserve">, un </w:t>
      </w:r>
      <w:proofErr w:type="spellStart"/>
      <w:r w:rsidRPr="00640637">
        <w:rPr>
          <w:rFonts w:ascii="Cambria" w:eastAsia="Arial Unicode MS" w:hAnsi="Cambria"/>
          <w:b w:val="0"/>
          <w:sz w:val="19"/>
          <w:szCs w:val="19"/>
        </w:rPr>
        <w:t>ikdienas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pārskatus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sagatavo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kontroles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struktūrvienība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pārskata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tāda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līmeņa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vadība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kuras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pilnvaras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ir</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pietiekamas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lai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mazinātu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gan</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atsevišķu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tirgotāju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izveidotās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pozīcijas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gan</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arī</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iestādes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kopējo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risku</w:t>
      </w:r>
      <w:proofErr w:type="spellEnd"/>
      <w:r w:rsidRPr="00640637">
        <w:rPr>
          <w:rFonts w:ascii="Cambria" w:eastAsia="Arial Unicode MS" w:hAnsi="Cambria"/>
          <w:b w:val="0"/>
          <w:sz w:val="19"/>
          <w:szCs w:val="19"/>
        </w:rPr>
        <w:t>.</w:t>
      </w:r>
    </w:p>
    <w:p w:rsidR="00ED4C41" w:rsidRPr="00640637" w:rsidRDefault="00ED4C41" w:rsidP="00ED4C41">
      <w:pPr>
        <w:spacing w:before="130" w:line="260" w:lineRule="exact"/>
        <w:jc w:val="both"/>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Pr>
          <w:rFonts w:ascii="Cambria" w:hAnsi="Cambria"/>
          <w:b w:val="0"/>
          <w:sz w:val="19"/>
          <w:szCs w:val="19"/>
        </w:rPr>
        <w:br w:type="page"/>
      </w:r>
      <w:r w:rsidRPr="00640637">
        <w:rPr>
          <w:rFonts w:ascii="Cambria" w:hAnsi="Cambria"/>
          <w:b w:val="0"/>
          <w:sz w:val="19"/>
          <w:szCs w:val="19"/>
        </w:rPr>
        <w:lastRenderedPageBreak/>
        <w:t xml:space="preserve">33. </w:t>
      </w:r>
      <w:proofErr w:type="spellStart"/>
      <w:r w:rsidRPr="00640637">
        <w:rPr>
          <w:rFonts w:ascii="Cambria" w:hAnsi="Cambria"/>
          <w:b w:val="0"/>
          <w:sz w:val="19"/>
          <w:szCs w:val="19"/>
        </w:rPr>
        <w:t>Iestādei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pietiekams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skaits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darbinieku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kvalificēti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izmantot</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sarežģītus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iekšējos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modeļus</w:t>
      </w:r>
      <w:proofErr w:type="spellEnd"/>
      <w:r w:rsidRPr="00640637">
        <w:rPr>
          <w:rFonts w:ascii="Cambria" w:hAnsi="Cambria"/>
          <w:b w:val="0"/>
          <w:sz w:val="19"/>
          <w:szCs w:val="19"/>
        </w:rPr>
        <w:t xml:space="preserve">, </w:t>
      </w:r>
      <w:proofErr w:type="spellStart"/>
      <w:r w:rsidRPr="00640637">
        <w:rPr>
          <w:rFonts w:ascii="Cambria" w:eastAsia="Arial Unicode MS" w:hAnsi="Cambria"/>
          <w:b w:val="0"/>
          <w:sz w:val="19"/>
          <w:szCs w:val="19"/>
        </w:rPr>
        <w:t>tostarp</w:t>
      </w:r>
      <w:proofErr w:type="spellEnd"/>
      <w:r w:rsidRPr="00640637">
        <w:rPr>
          <w:rFonts w:ascii="Cambria" w:eastAsia="Arial Unicode MS" w:hAnsi="Cambria"/>
          <w:b w:val="0"/>
          <w:sz w:val="19"/>
          <w:szCs w:val="19"/>
        </w:rPr>
        <w:t xml:space="preserve"> IMTR, </w:t>
      </w:r>
      <w:proofErr w:type="spellStart"/>
      <w:r w:rsidRPr="00640637">
        <w:rPr>
          <w:rFonts w:ascii="Cambria" w:eastAsia="Arial Unicode MS" w:hAnsi="Cambria"/>
          <w:b w:val="0"/>
          <w:sz w:val="19"/>
          <w:szCs w:val="19"/>
        </w:rPr>
        <w:t>tirdzniecībā</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kontrolē</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revīzijā</w:t>
      </w:r>
      <w:proofErr w:type="spellEnd"/>
      <w:r w:rsidRPr="00640637">
        <w:rPr>
          <w:rFonts w:ascii="Cambria" w:eastAsia="Arial Unicode MS" w:hAnsi="Cambria"/>
          <w:b w:val="0"/>
          <w:sz w:val="19"/>
          <w:szCs w:val="19"/>
        </w:rPr>
        <w:t xml:space="preserve"> </w:t>
      </w:r>
      <w:proofErr w:type="gramStart"/>
      <w:r w:rsidRPr="00640637">
        <w:rPr>
          <w:rFonts w:ascii="Cambria" w:eastAsia="Arial Unicode MS" w:hAnsi="Cambria"/>
          <w:b w:val="0"/>
          <w:sz w:val="19"/>
          <w:szCs w:val="19"/>
        </w:rPr>
        <w:t>un</w:t>
      </w:r>
      <w:proofErr w:type="gram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darījumu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uzskaites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jomā</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34. </w:t>
      </w:r>
      <w:proofErr w:type="spellStart"/>
      <w:r w:rsidRPr="00640637">
        <w:rPr>
          <w:rFonts w:ascii="Cambria" w:hAnsi="Cambria"/>
          <w:b w:val="0"/>
          <w:sz w:val="19"/>
          <w:szCs w:val="19"/>
        </w:rPr>
        <w:t>Iestāde</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ieviesusi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procedūras</w:t>
      </w:r>
      <w:proofErr w:type="spellEnd"/>
      <w:r w:rsidRPr="00640637">
        <w:rPr>
          <w:rFonts w:ascii="Cambria" w:hAnsi="Cambria"/>
          <w:b w:val="0"/>
          <w:sz w:val="19"/>
          <w:szCs w:val="19"/>
        </w:rPr>
        <w:t xml:space="preserve">, </w:t>
      </w:r>
      <w:proofErr w:type="spellStart"/>
      <w:r w:rsidRPr="00640637">
        <w:rPr>
          <w:rFonts w:ascii="Cambria" w:eastAsia="Arial Unicode MS" w:hAnsi="Cambria"/>
          <w:b w:val="0"/>
          <w:sz w:val="19"/>
          <w:szCs w:val="19"/>
        </w:rPr>
        <w:t>lai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uzraudzītu</w:t>
      </w:r>
      <w:proofErr w:type="spellEnd"/>
      <w:r w:rsidRPr="00640637">
        <w:rPr>
          <w:rFonts w:ascii="Cambria" w:eastAsia="Arial Unicode MS" w:hAnsi="Cambria"/>
          <w:b w:val="0"/>
          <w:sz w:val="19"/>
          <w:szCs w:val="19"/>
        </w:rPr>
        <w:t xml:space="preserve"> </w:t>
      </w:r>
      <w:proofErr w:type="gramStart"/>
      <w:r w:rsidRPr="00640637">
        <w:rPr>
          <w:rFonts w:ascii="Cambria" w:eastAsia="Arial Unicode MS" w:hAnsi="Cambria"/>
          <w:b w:val="0"/>
          <w:sz w:val="19"/>
          <w:szCs w:val="19"/>
        </w:rPr>
        <w:t>un</w:t>
      </w:r>
      <w:proofErr w:type="gram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nodrošinātu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atbilstību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dokumentētam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iekšējo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politiku</w:t>
      </w:r>
      <w:proofErr w:type="spellEnd"/>
      <w:r w:rsidRPr="00640637">
        <w:rPr>
          <w:rFonts w:ascii="Cambria" w:eastAsia="Arial Unicode MS" w:hAnsi="Cambria"/>
          <w:b w:val="0"/>
          <w:sz w:val="19"/>
          <w:szCs w:val="19"/>
        </w:rPr>
        <w:t xml:space="preserve"> un </w:t>
      </w:r>
      <w:proofErr w:type="spellStart"/>
      <w:r w:rsidRPr="00640637">
        <w:rPr>
          <w:rFonts w:ascii="Cambria" w:eastAsia="Arial Unicode MS" w:hAnsi="Cambria"/>
          <w:b w:val="0"/>
          <w:sz w:val="19"/>
          <w:szCs w:val="19"/>
        </w:rPr>
        <w:t>kontroles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procedūru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kopumam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attiecībā</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uz</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tās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iekšējo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modeļu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tostarp</w:t>
      </w:r>
      <w:proofErr w:type="spellEnd"/>
      <w:r w:rsidRPr="00640637">
        <w:rPr>
          <w:rFonts w:ascii="Cambria" w:eastAsia="Arial Unicode MS" w:hAnsi="Cambria"/>
          <w:b w:val="0"/>
          <w:sz w:val="19"/>
          <w:szCs w:val="19"/>
        </w:rPr>
        <w:t xml:space="preserve"> IMTR, </w:t>
      </w:r>
      <w:proofErr w:type="spellStart"/>
      <w:r w:rsidRPr="00640637">
        <w:rPr>
          <w:rFonts w:ascii="Cambria" w:eastAsia="Arial Unicode MS" w:hAnsi="Cambria"/>
          <w:b w:val="0"/>
          <w:sz w:val="19"/>
          <w:szCs w:val="19"/>
        </w:rPr>
        <w:t>vispārējo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darbību</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35. IMTR </w:t>
      </w:r>
      <w:proofErr w:type="spellStart"/>
      <w:r w:rsidRPr="00640637">
        <w:rPr>
          <w:rFonts w:ascii="Cambria" w:eastAsia="Arial Unicode MS" w:hAnsi="Cambria"/>
          <w:b w:val="0"/>
          <w:sz w:val="19"/>
          <w:szCs w:val="19"/>
        </w:rPr>
        <w:t>ir</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pārbaudīta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vēsture</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mērīšanā</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ar</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pietiekamu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precizitāti</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Text1"/>
        <w:spacing w:before="130" w:after="0" w:line="260" w:lineRule="exact"/>
        <w:ind w:left="0"/>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 xml:space="preserve">36. </w:t>
      </w:r>
      <w:r w:rsidRPr="00640637">
        <w:rPr>
          <w:rFonts w:ascii="Cambria" w:eastAsia="Arial Unicode MS" w:hAnsi="Cambria"/>
          <w:sz w:val="19"/>
          <w:szCs w:val="19"/>
          <w:lang w:val="lv-LV"/>
        </w:rPr>
        <w:t>Iestāde bieži īsteno stingru spriedzes testēšanas programmu, tostarp reversos spriedzes testus, un šāda programma iekļauj jebkuru IMTR</w:t>
      </w:r>
      <w:r w:rsidRPr="00640637">
        <w:rPr>
          <w:rFonts w:ascii="Cambria" w:hAnsi="Cambria"/>
          <w:sz w:val="19"/>
          <w:szCs w:val="19"/>
          <w:lang w:val="lv-LV"/>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 xml:space="preserve">37. Iestādes </w:t>
      </w:r>
      <w:r w:rsidRPr="00640637">
        <w:rPr>
          <w:rFonts w:ascii="Cambria" w:eastAsia="Arial Unicode MS" w:hAnsi="Cambria"/>
          <w:sz w:val="19"/>
          <w:szCs w:val="19"/>
          <w:lang w:val="lv-LV"/>
        </w:rPr>
        <w:t>augstākā vadība pārskata spriedzes testēšanas rezultātus un atspoguļo tos politikās un limitos, kurus tā nosaka</w:t>
      </w:r>
      <w:r w:rsidRPr="00640637">
        <w:rPr>
          <w:rFonts w:ascii="Cambria" w:hAnsi="Cambria"/>
          <w:sz w:val="19"/>
          <w:szCs w:val="19"/>
          <w:lang w:val="lv-LV"/>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 xml:space="preserve">38. Spriedzes testēšanas programma </w:t>
      </w:r>
      <w:r w:rsidRPr="00640637">
        <w:rPr>
          <w:rFonts w:ascii="Cambria" w:eastAsia="Arial Unicode MS" w:hAnsi="Cambria"/>
          <w:sz w:val="19"/>
          <w:szCs w:val="19"/>
          <w:lang w:val="lv-LV"/>
        </w:rPr>
        <w:t>jo īpaši modelē tirgus nelikviditāti saspringtos tirgus apstākļos, koncentrācijas risku, vienpusējus tirgus, gadījuma un pēkšņas saistību neizpildes risku, nelineāras produktu cenu izmaiņas, pozīcijas ar būtiski negatīvu iekšējo vērtību, pozīcijas ar cenu pārrāvumiem un citus riskus, ko iekšējais modelis ietver nepilnīgi</w:t>
      </w:r>
      <w:r w:rsidRPr="00640637">
        <w:rPr>
          <w:rFonts w:ascii="Cambria" w:hAnsi="Cambria"/>
          <w:sz w:val="19"/>
          <w:szCs w:val="19"/>
          <w:lang w:val="lv-LV"/>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eastAsia="Arial Unicode MS"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 xml:space="preserve">39. Spriedzes testēšanas programmā </w:t>
      </w:r>
      <w:r w:rsidRPr="00640637">
        <w:rPr>
          <w:rFonts w:ascii="Cambria" w:eastAsia="Arial Unicode MS" w:hAnsi="Cambria"/>
          <w:sz w:val="19"/>
          <w:szCs w:val="19"/>
          <w:lang w:val="lv-LV"/>
        </w:rPr>
        <w:t>piemērotie satricinājumi atspoguļo portfeļu būtību un laikposmu, kas būtu vajadzīgs, lai ierobežotu vai pārvaldītu riskus smagos tirgus apstākļos.</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40. </w:t>
      </w:r>
      <w:proofErr w:type="spellStart"/>
      <w:r w:rsidRPr="00640637">
        <w:rPr>
          <w:rFonts w:ascii="Cambria" w:eastAsia="Arial Unicode MS" w:hAnsi="Cambria"/>
          <w:b w:val="0"/>
          <w:sz w:val="19"/>
          <w:szCs w:val="19"/>
        </w:rPr>
        <w:t>Iestāde</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kā</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daļu</w:t>
      </w:r>
      <w:proofErr w:type="spellEnd"/>
      <w:r w:rsidRPr="00640637">
        <w:rPr>
          <w:rFonts w:ascii="Cambria" w:eastAsia="Arial Unicode MS" w:hAnsi="Cambria"/>
          <w:b w:val="0"/>
          <w:sz w:val="19"/>
          <w:szCs w:val="19"/>
        </w:rPr>
        <w:t xml:space="preserve"> no </w:t>
      </w:r>
      <w:proofErr w:type="spellStart"/>
      <w:proofErr w:type="gramStart"/>
      <w:r w:rsidRPr="00640637">
        <w:rPr>
          <w:rFonts w:ascii="Cambria" w:eastAsia="Arial Unicode MS" w:hAnsi="Cambria"/>
          <w:b w:val="0"/>
          <w:sz w:val="19"/>
          <w:szCs w:val="19"/>
        </w:rPr>
        <w:t>sava</w:t>
      </w:r>
      <w:proofErr w:type="spellEnd"/>
      <w:proofErr w:type="gram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regulārā</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iekšējās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revīzijas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procesa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veic</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neatkarīgu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savu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iekšējo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modeļu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pārbaudi</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bCs w:val="0"/>
          <w:noProof/>
          <w:sz w:val="19"/>
          <w:szCs w:val="19"/>
        </w:rPr>
      </w:pPr>
      <w:proofErr w:type="gramStart"/>
      <w:r w:rsidRPr="00640637">
        <w:rPr>
          <w:rFonts w:ascii="Cambria" w:hAnsi="Cambria"/>
          <w:b w:val="0"/>
          <w:sz w:val="19"/>
          <w:szCs w:val="19"/>
        </w:rPr>
        <w:t xml:space="preserve">41. ES </w:t>
      </w:r>
      <w:proofErr w:type="spellStart"/>
      <w:r w:rsidRPr="00640637">
        <w:rPr>
          <w:rFonts w:ascii="Cambria" w:hAnsi="Cambria"/>
          <w:b w:val="0"/>
          <w:sz w:val="19"/>
          <w:szCs w:val="19"/>
        </w:rPr>
        <w:t>Regulas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Nr</w:t>
      </w:r>
      <w:proofErr w:type="spellEnd"/>
      <w:r w:rsidRPr="00640637">
        <w:rPr>
          <w:rFonts w:ascii="Cambria" w:hAnsi="Cambria"/>
          <w:b w:val="0"/>
          <w:sz w:val="19"/>
          <w:szCs w:val="19"/>
        </w:rPr>
        <w:t>. 575/2013 368.</w:t>
      </w:r>
      <w:proofErr w:type="gramEnd"/>
      <w:r w:rsidRPr="00640637">
        <w:rPr>
          <w:rFonts w:ascii="Cambria" w:hAnsi="Cambria"/>
          <w:b w:val="0"/>
          <w:sz w:val="19"/>
          <w:szCs w:val="19"/>
        </w:rPr>
        <w:t xml:space="preserve"> </w:t>
      </w:r>
      <w:proofErr w:type="spellStart"/>
      <w:proofErr w:type="gramStart"/>
      <w:r w:rsidRPr="00640637">
        <w:rPr>
          <w:rFonts w:ascii="Cambria" w:hAnsi="Cambria"/>
          <w:b w:val="0"/>
          <w:sz w:val="19"/>
          <w:szCs w:val="19"/>
        </w:rPr>
        <w:t>panta</w:t>
      </w:r>
      <w:proofErr w:type="spellEnd"/>
      <w:proofErr w:type="gramEnd"/>
      <w:r w:rsidRPr="00640637">
        <w:rPr>
          <w:rFonts w:ascii="Cambria" w:hAnsi="Cambria"/>
          <w:b w:val="0"/>
          <w:sz w:val="19"/>
          <w:szCs w:val="19"/>
        </w:rPr>
        <w:t xml:space="preserve"> 1. </w:t>
      </w:r>
      <w:proofErr w:type="spellStart"/>
      <w:proofErr w:type="gramStart"/>
      <w:r w:rsidRPr="00640637">
        <w:rPr>
          <w:rFonts w:ascii="Cambria" w:hAnsi="Cambria"/>
          <w:b w:val="0"/>
          <w:sz w:val="19"/>
          <w:szCs w:val="19"/>
        </w:rPr>
        <w:t>punkta</w:t>
      </w:r>
      <w:proofErr w:type="spellEnd"/>
      <w:proofErr w:type="gramEnd"/>
      <w:r w:rsidRPr="00640637">
        <w:rPr>
          <w:rFonts w:ascii="Cambria" w:hAnsi="Cambria"/>
          <w:b w:val="0"/>
          <w:sz w:val="19"/>
          <w:szCs w:val="19"/>
        </w:rPr>
        <w:t xml:space="preserve"> h) </w:t>
      </w:r>
      <w:proofErr w:type="spellStart"/>
      <w:r w:rsidRPr="00640637">
        <w:rPr>
          <w:rFonts w:ascii="Cambria" w:hAnsi="Cambria"/>
          <w:b w:val="0"/>
          <w:sz w:val="19"/>
          <w:szCs w:val="19"/>
        </w:rPr>
        <w:t>apakšpunktā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minētā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pārbaude</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aptver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gan</w:t>
      </w:r>
      <w:proofErr w:type="spellEnd"/>
      <w:r w:rsidRPr="00640637">
        <w:rPr>
          <w:rFonts w:ascii="Cambria" w:hAnsi="Cambria"/>
          <w:b w:val="0"/>
          <w:sz w:val="19"/>
          <w:szCs w:val="19"/>
        </w:rPr>
        <w:t xml:space="preserve"> </w:t>
      </w:r>
      <w:proofErr w:type="spellStart"/>
      <w:r w:rsidRPr="00640637">
        <w:rPr>
          <w:rFonts w:ascii="Cambria" w:eastAsia="Arial Unicode MS" w:hAnsi="Cambria"/>
          <w:b w:val="0"/>
          <w:sz w:val="19"/>
          <w:szCs w:val="19"/>
        </w:rPr>
        <w:t>darījumu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tirdzniecības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struktūrvienību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gan</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neatkarīgās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kontroles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struktūrvienības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darbības</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pStyle w:val="BodyText3"/>
        <w:spacing w:before="130" w:line="260" w:lineRule="exact"/>
        <w:rPr>
          <w:rFonts w:ascii="Cambria" w:hAnsi="Cambria"/>
          <w:b w:val="0"/>
          <w:sz w:val="19"/>
          <w:szCs w:val="19"/>
        </w:rPr>
      </w:pPr>
      <w:r w:rsidRPr="00640637">
        <w:rPr>
          <w:rFonts w:ascii="Cambria" w:hAnsi="Cambria"/>
          <w:b w:val="0"/>
          <w:sz w:val="17"/>
          <w:szCs w:val="19"/>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spacing w:before="130" w:line="260" w:lineRule="exact"/>
        <w:rPr>
          <w:rFonts w:ascii="Cambria"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42. Vismaz reizi gadā iestāde veic sava vispārējā riska pārvaldības procesa pārbaudi.</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43. </w:t>
      </w:r>
      <w:proofErr w:type="spellStart"/>
      <w:r w:rsidRPr="00640637">
        <w:rPr>
          <w:rFonts w:ascii="Cambria" w:hAnsi="Cambria"/>
          <w:b w:val="0"/>
          <w:sz w:val="19"/>
          <w:szCs w:val="19"/>
        </w:rPr>
        <w:t>Vispārējā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riska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pārvaldības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procesa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pārbaude</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ietver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risku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pārvaldīšanas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sistēmas</w:t>
      </w:r>
      <w:proofErr w:type="spellEnd"/>
      <w:r w:rsidRPr="00640637">
        <w:rPr>
          <w:rFonts w:ascii="Cambria" w:hAnsi="Cambria"/>
          <w:b w:val="0"/>
          <w:sz w:val="19"/>
          <w:szCs w:val="19"/>
        </w:rPr>
        <w:t xml:space="preserve"> </w:t>
      </w:r>
      <w:proofErr w:type="gramStart"/>
      <w:r w:rsidRPr="00640637">
        <w:rPr>
          <w:rFonts w:ascii="Cambria" w:hAnsi="Cambria"/>
          <w:b w:val="0"/>
          <w:sz w:val="19"/>
          <w:szCs w:val="19"/>
        </w:rPr>
        <w:t>un</w:t>
      </w:r>
      <w:proofErr w:type="gramEnd"/>
      <w:r w:rsidRPr="00640637">
        <w:rPr>
          <w:rFonts w:ascii="Cambria" w:hAnsi="Cambria"/>
          <w:b w:val="0"/>
          <w:sz w:val="19"/>
          <w:szCs w:val="19"/>
        </w:rPr>
        <w:t xml:space="preserve"> </w:t>
      </w:r>
      <w:proofErr w:type="spellStart"/>
      <w:r w:rsidRPr="00640637">
        <w:rPr>
          <w:rFonts w:ascii="Cambria" w:hAnsi="Cambria"/>
          <w:b w:val="0"/>
          <w:sz w:val="19"/>
          <w:szCs w:val="19"/>
        </w:rPr>
        <w:t>procesa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dokumentācijas</w:t>
      </w:r>
      <w:proofErr w:type="spellEnd"/>
      <w:r w:rsidRPr="00640637">
        <w:rPr>
          <w:rFonts w:ascii="Cambria" w:hAnsi="Cambria"/>
          <w:b w:val="0"/>
          <w:sz w:val="19"/>
          <w:szCs w:val="19"/>
        </w:rPr>
        <w:t xml:space="preserve"> un </w:t>
      </w:r>
      <w:proofErr w:type="spellStart"/>
      <w:r w:rsidRPr="00640637">
        <w:rPr>
          <w:rFonts w:ascii="Cambria" w:hAnsi="Cambria"/>
          <w:b w:val="0"/>
          <w:sz w:val="19"/>
          <w:szCs w:val="19"/>
        </w:rPr>
        <w:t>riska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kontroles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struktūrvienības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organizācijas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atbilstības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pārbaudi</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Teksts2"/>
        <w:spacing w:before="130" w:line="260" w:lineRule="exact"/>
        <w:rPr>
          <w:rFonts w:ascii="Cambria" w:hAnsi="Cambria"/>
          <w:sz w:val="19"/>
          <w:szCs w:val="19"/>
        </w:rPr>
      </w:pPr>
      <w:r w:rsidRPr="00640637">
        <w:rPr>
          <w:rFonts w:ascii="Cambria" w:hAnsi="Cambria"/>
          <w:sz w:val="19"/>
          <w:szCs w:val="19"/>
        </w:rPr>
        <w:t xml:space="preserve">44. Vispārējā riska pārvaldības procesa pārbaude ietver </w:t>
      </w:r>
      <w:r w:rsidRPr="00640637">
        <w:rPr>
          <w:rFonts w:ascii="Cambria" w:eastAsia="Arial Unicode MS" w:hAnsi="Cambria"/>
          <w:sz w:val="19"/>
          <w:szCs w:val="19"/>
        </w:rPr>
        <w:t>riska mēru integrāciju ikdienas riska pārvaldībā un vadības informācijas sistēmas integritātes izvērtēšanu</w:t>
      </w:r>
      <w:r w:rsidRPr="00640637">
        <w:rPr>
          <w:rFonts w:ascii="Cambria" w:hAnsi="Cambria"/>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Teksts2"/>
        <w:spacing w:before="130" w:line="260" w:lineRule="exact"/>
        <w:rPr>
          <w:rFonts w:ascii="Cambria" w:hAnsi="Cambria"/>
          <w:sz w:val="19"/>
          <w:szCs w:val="19"/>
        </w:rPr>
      </w:pPr>
      <w:r w:rsidRPr="00640637">
        <w:rPr>
          <w:rFonts w:ascii="Cambria" w:hAnsi="Cambria"/>
          <w:sz w:val="17"/>
          <w:szCs w:val="19"/>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Teksts2"/>
        <w:spacing w:before="130" w:line="260" w:lineRule="exact"/>
        <w:rPr>
          <w:rFonts w:ascii="Cambria" w:hAnsi="Cambria"/>
          <w:sz w:val="19"/>
          <w:szCs w:val="19"/>
        </w:rPr>
      </w:pPr>
    </w:p>
    <w:p w:rsidR="00ED4C41" w:rsidRPr="00640637" w:rsidRDefault="00ED4C41" w:rsidP="00ED4C41">
      <w:pPr>
        <w:pStyle w:val="Teksts2"/>
        <w:spacing w:before="130" w:line="260" w:lineRule="exact"/>
        <w:rPr>
          <w:rFonts w:ascii="Cambria" w:hAnsi="Cambria"/>
          <w:sz w:val="19"/>
          <w:szCs w:val="19"/>
        </w:rPr>
      </w:pPr>
      <w:r>
        <w:rPr>
          <w:rFonts w:ascii="Cambria" w:hAnsi="Cambria"/>
          <w:sz w:val="19"/>
          <w:szCs w:val="19"/>
        </w:rPr>
        <w:br w:type="page"/>
      </w:r>
      <w:r w:rsidRPr="00640637">
        <w:rPr>
          <w:rFonts w:ascii="Cambria" w:hAnsi="Cambria"/>
          <w:sz w:val="19"/>
          <w:szCs w:val="19"/>
        </w:rPr>
        <w:lastRenderedPageBreak/>
        <w:t>45. Vispārējā riska pārvaldības procesa</w:t>
      </w:r>
      <w:r w:rsidRPr="00640637" w:rsidDel="003A07BF">
        <w:rPr>
          <w:rFonts w:ascii="Cambria" w:hAnsi="Cambria"/>
          <w:sz w:val="19"/>
          <w:szCs w:val="19"/>
        </w:rPr>
        <w:t xml:space="preserve"> </w:t>
      </w:r>
      <w:r w:rsidRPr="00640637">
        <w:rPr>
          <w:rFonts w:ascii="Cambria" w:hAnsi="Cambria"/>
          <w:sz w:val="19"/>
          <w:szCs w:val="19"/>
        </w:rPr>
        <w:t xml:space="preserve">pārbaude ietver </w:t>
      </w:r>
      <w:r w:rsidRPr="00640637">
        <w:rPr>
          <w:rFonts w:ascii="Cambria" w:eastAsia="Arial Unicode MS" w:hAnsi="Cambria"/>
          <w:sz w:val="19"/>
          <w:szCs w:val="19"/>
        </w:rPr>
        <w:t>iestādes apstiprināšanai izmantoto riska cenošanas modeļu un riska novērtēšanas sistēmu, ko izmanto tirdzniecības un uzskaites personāls,</w:t>
      </w:r>
      <w:r w:rsidRPr="00640637">
        <w:rPr>
          <w:rFonts w:ascii="Cambria" w:hAnsi="Cambria"/>
          <w:sz w:val="19"/>
          <w:szCs w:val="19"/>
        </w:rPr>
        <w:t xml:space="preserve"> izvērtēšanu.</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Teksts2"/>
        <w:spacing w:before="130" w:line="260" w:lineRule="exact"/>
        <w:rPr>
          <w:rFonts w:ascii="Cambria" w:hAnsi="Cambria"/>
          <w:sz w:val="19"/>
          <w:szCs w:val="19"/>
        </w:rPr>
      </w:pPr>
      <w:r w:rsidRPr="00640637">
        <w:rPr>
          <w:rFonts w:ascii="Cambria" w:hAnsi="Cambria"/>
          <w:sz w:val="17"/>
          <w:szCs w:val="19"/>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Teksts2"/>
        <w:spacing w:before="130" w:line="260" w:lineRule="exact"/>
        <w:rPr>
          <w:rFonts w:ascii="Cambria" w:hAnsi="Cambria"/>
          <w:sz w:val="19"/>
          <w:szCs w:val="19"/>
        </w:rPr>
      </w:pPr>
    </w:p>
    <w:p w:rsidR="00ED4C41" w:rsidRPr="00640637" w:rsidRDefault="00ED4C41" w:rsidP="00ED4C41">
      <w:pPr>
        <w:pStyle w:val="Teksts2"/>
        <w:spacing w:before="130" w:line="260" w:lineRule="exact"/>
        <w:rPr>
          <w:rFonts w:ascii="Cambria" w:hAnsi="Cambria"/>
          <w:sz w:val="19"/>
          <w:szCs w:val="19"/>
        </w:rPr>
      </w:pPr>
      <w:r w:rsidRPr="00640637">
        <w:rPr>
          <w:rFonts w:ascii="Cambria" w:hAnsi="Cambria"/>
          <w:sz w:val="19"/>
          <w:szCs w:val="19"/>
        </w:rPr>
        <w:t>46. Vispārējā riska pārvaldības procesa</w:t>
      </w:r>
      <w:r w:rsidRPr="00640637" w:rsidDel="003A07BF">
        <w:rPr>
          <w:rFonts w:ascii="Cambria" w:hAnsi="Cambria"/>
          <w:sz w:val="19"/>
          <w:szCs w:val="19"/>
        </w:rPr>
        <w:t xml:space="preserve"> </w:t>
      </w:r>
      <w:r w:rsidRPr="00640637">
        <w:rPr>
          <w:rFonts w:ascii="Cambria" w:hAnsi="Cambria"/>
          <w:sz w:val="19"/>
          <w:szCs w:val="19"/>
        </w:rPr>
        <w:t xml:space="preserve">pārbaude ietver </w:t>
      </w:r>
      <w:r w:rsidRPr="00640637">
        <w:rPr>
          <w:rFonts w:ascii="Cambria" w:eastAsia="Arial Unicode MS" w:hAnsi="Cambria"/>
          <w:sz w:val="19"/>
          <w:szCs w:val="19"/>
        </w:rPr>
        <w:t>risku klāstu, ko aptver riska mērīšanas modelis, un izvērtējumu, kā tiek validētas visas nozīmīgās izmaiņas riska mērīšanas procesā</w:t>
      </w:r>
      <w:r w:rsidRPr="00640637">
        <w:rPr>
          <w:rFonts w:ascii="Cambria" w:hAnsi="Cambria"/>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Teksts2"/>
        <w:spacing w:before="130" w:line="260" w:lineRule="exact"/>
        <w:rPr>
          <w:rFonts w:ascii="Cambria" w:hAnsi="Cambria"/>
          <w:sz w:val="19"/>
          <w:szCs w:val="19"/>
        </w:rPr>
      </w:pPr>
      <w:r w:rsidRPr="00640637">
        <w:rPr>
          <w:rFonts w:ascii="Cambria" w:hAnsi="Cambria"/>
          <w:sz w:val="17"/>
          <w:szCs w:val="19"/>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Teksts2"/>
        <w:spacing w:before="130" w:line="260" w:lineRule="exact"/>
        <w:rPr>
          <w:rFonts w:ascii="Cambria" w:hAnsi="Cambria"/>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47. </w:t>
      </w:r>
      <w:proofErr w:type="spellStart"/>
      <w:r w:rsidRPr="00640637">
        <w:rPr>
          <w:rFonts w:ascii="Cambria" w:hAnsi="Cambria"/>
          <w:b w:val="0"/>
          <w:sz w:val="19"/>
          <w:szCs w:val="19"/>
        </w:rPr>
        <w:t>Vispārējā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riska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pārvaldības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procesa</w:t>
      </w:r>
      <w:proofErr w:type="spellEnd"/>
      <w:r w:rsidRPr="00640637" w:rsidDel="003A07BF">
        <w:rPr>
          <w:rFonts w:ascii="Cambria" w:hAnsi="Cambria"/>
          <w:b w:val="0"/>
          <w:sz w:val="19"/>
          <w:szCs w:val="19"/>
        </w:rPr>
        <w:t xml:space="preserve"> </w:t>
      </w:r>
      <w:proofErr w:type="spellStart"/>
      <w:r w:rsidRPr="00640637">
        <w:rPr>
          <w:rFonts w:ascii="Cambria" w:hAnsi="Cambria"/>
          <w:b w:val="0"/>
          <w:sz w:val="19"/>
          <w:szCs w:val="19"/>
        </w:rPr>
        <w:t>pārbaude</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ietver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izvērtēšanu</w:t>
      </w:r>
      <w:proofErr w:type="spellEnd"/>
      <w:r w:rsidRPr="00640637">
        <w:rPr>
          <w:rFonts w:ascii="Cambria" w:hAnsi="Cambria"/>
          <w:b w:val="0"/>
          <w:sz w:val="19"/>
          <w:szCs w:val="19"/>
        </w:rPr>
        <w:t xml:space="preserve">, </w:t>
      </w:r>
      <w:proofErr w:type="spellStart"/>
      <w:r w:rsidRPr="00640637">
        <w:rPr>
          <w:rFonts w:ascii="Cambria" w:eastAsia="Arial Unicode MS" w:hAnsi="Cambria"/>
          <w:b w:val="0"/>
          <w:sz w:val="19"/>
          <w:szCs w:val="19"/>
        </w:rPr>
        <w:t>cik</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precīzi</w:t>
      </w:r>
      <w:proofErr w:type="spellEnd"/>
      <w:r w:rsidRPr="00640637">
        <w:rPr>
          <w:rFonts w:ascii="Cambria" w:eastAsia="Arial Unicode MS" w:hAnsi="Cambria"/>
          <w:b w:val="0"/>
          <w:sz w:val="19"/>
          <w:szCs w:val="19"/>
        </w:rPr>
        <w:t xml:space="preserve"> </w:t>
      </w:r>
      <w:proofErr w:type="gramStart"/>
      <w:r w:rsidRPr="00640637">
        <w:rPr>
          <w:rFonts w:ascii="Cambria" w:eastAsia="Arial Unicode MS" w:hAnsi="Cambria"/>
          <w:b w:val="0"/>
          <w:sz w:val="19"/>
          <w:szCs w:val="19"/>
        </w:rPr>
        <w:t>un</w:t>
      </w:r>
      <w:proofErr w:type="gram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pilnīgi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ir</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pozīciju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dati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cik</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precīzi</w:t>
      </w:r>
      <w:proofErr w:type="spellEnd"/>
      <w:r w:rsidRPr="00640637">
        <w:rPr>
          <w:rFonts w:ascii="Cambria" w:eastAsia="Arial Unicode MS" w:hAnsi="Cambria"/>
          <w:b w:val="0"/>
          <w:sz w:val="19"/>
          <w:szCs w:val="19"/>
        </w:rPr>
        <w:t xml:space="preserve"> un </w:t>
      </w:r>
      <w:proofErr w:type="spellStart"/>
      <w:r w:rsidRPr="00640637">
        <w:rPr>
          <w:rFonts w:ascii="Cambria" w:eastAsia="Arial Unicode MS" w:hAnsi="Cambria"/>
          <w:b w:val="0"/>
          <w:sz w:val="19"/>
          <w:szCs w:val="19"/>
        </w:rPr>
        <w:t>atbilstīgi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ir</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svārstīguma</w:t>
      </w:r>
      <w:proofErr w:type="spellEnd"/>
      <w:r w:rsidRPr="00640637">
        <w:rPr>
          <w:rFonts w:ascii="Cambria" w:eastAsia="Arial Unicode MS" w:hAnsi="Cambria"/>
          <w:b w:val="0"/>
          <w:sz w:val="19"/>
          <w:szCs w:val="19"/>
        </w:rPr>
        <w:t xml:space="preserve"> un </w:t>
      </w:r>
      <w:proofErr w:type="spellStart"/>
      <w:r w:rsidRPr="00640637">
        <w:rPr>
          <w:rFonts w:ascii="Cambria" w:eastAsia="Arial Unicode MS" w:hAnsi="Cambria"/>
          <w:b w:val="0"/>
          <w:sz w:val="19"/>
          <w:szCs w:val="19"/>
        </w:rPr>
        <w:t>korelācijas</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pieņēmumi</w:t>
      </w:r>
      <w:proofErr w:type="spellEnd"/>
      <w:r w:rsidRPr="00640637">
        <w:rPr>
          <w:rFonts w:ascii="Cambria" w:eastAsia="Arial Unicode MS" w:hAnsi="Cambria"/>
          <w:b w:val="0"/>
          <w:sz w:val="19"/>
          <w:szCs w:val="19"/>
        </w:rPr>
        <w:t xml:space="preserve"> un </w:t>
      </w:r>
      <w:proofErr w:type="spellStart"/>
      <w:r w:rsidRPr="00640637">
        <w:rPr>
          <w:rFonts w:ascii="Cambria" w:eastAsia="Arial Unicode MS" w:hAnsi="Cambria"/>
          <w:b w:val="0"/>
          <w:sz w:val="19"/>
          <w:szCs w:val="19"/>
        </w:rPr>
        <w:t>cik</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precīzi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ir</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vērtējumi</w:t>
      </w:r>
      <w:proofErr w:type="spellEnd"/>
      <w:r w:rsidRPr="00640637">
        <w:rPr>
          <w:rFonts w:ascii="Cambria" w:eastAsia="Arial Unicode MS" w:hAnsi="Cambria"/>
          <w:b w:val="0"/>
          <w:sz w:val="19"/>
          <w:szCs w:val="19"/>
        </w:rPr>
        <w:t xml:space="preserve"> un </w:t>
      </w:r>
      <w:proofErr w:type="spellStart"/>
      <w:r w:rsidRPr="00640637">
        <w:rPr>
          <w:rFonts w:ascii="Cambria" w:eastAsia="Arial Unicode MS" w:hAnsi="Cambria"/>
          <w:b w:val="0"/>
          <w:sz w:val="19"/>
          <w:szCs w:val="19"/>
        </w:rPr>
        <w:t>riska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jutīguma</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aprēķini</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lastRenderedPageBreak/>
        <w:t xml:space="preserve">48. </w:t>
      </w:r>
      <w:proofErr w:type="spellStart"/>
      <w:r w:rsidRPr="00640637">
        <w:rPr>
          <w:rFonts w:ascii="Cambria" w:hAnsi="Cambria"/>
          <w:b w:val="0"/>
          <w:sz w:val="19"/>
          <w:szCs w:val="19"/>
        </w:rPr>
        <w:t>Vispārējā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riska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pārvaldības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procesa</w:t>
      </w:r>
      <w:proofErr w:type="spellEnd"/>
      <w:r w:rsidRPr="00640637" w:rsidDel="003A07BF">
        <w:rPr>
          <w:rFonts w:ascii="Cambria" w:hAnsi="Cambria"/>
          <w:b w:val="0"/>
          <w:sz w:val="19"/>
          <w:szCs w:val="19"/>
        </w:rPr>
        <w:t xml:space="preserve"> </w:t>
      </w:r>
      <w:proofErr w:type="spellStart"/>
      <w:r w:rsidRPr="00640637">
        <w:rPr>
          <w:rFonts w:ascii="Cambria" w:hAnsi="Cambria"/>
          <w:b w:val="0"/>
          <w:sz w:val="19"/>
          <w:szCs w:val="19"/>
        </w:rPr>
        <w:t>pārbaude</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ietver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arī</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pārbaudes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procesu</w:t>
      </w:r>
      <w:proofErr w:type="spellEnd"/>
      <w:r w:rsidRPr="00640637">
        <w:rPr>
          <w:rFonts w:ascii="Cambria" w:hAnsi="Cambria"/>
          <w:b w:val="0"/>
          <w:sz w:val="19"/>
          <w:szCs w:val="19"/>
        </w:rPr>
        <w:t xml:space="preserve">, </w:t>
      </w:r>
      <w:proofErr w:type="spellStart"/>
      <w:proofErr w:type="gramStart"/>
      <w:r w:rsidRPr="00640637">
        <w:rPr>
          <w:rFonts w:ascii="Cambria" w:hAnsi="Cambria"/>
          <w:b w:val="0"/>
          <w:sz w:val="19"/>
          <w:szCs w:val="19"/>
        </w:rPr>
        <w:t>ko</w:t>
      </w:r>
      <w:proofErr w:type="spellEnd"/>
      <w:proofErr w:type="gramEnd"/>
      <w:r w:rsidRPr="00640637">
        <w:rPr>
          <w:rFonts w:ascii="Cambria" w:hAnsi="Cambria"/>
          <w:b w:val="0"/>
          <w:sz w:val="19"/>
          <w:szCs w:val="19"/>
        </w:rPr>
        <w:t xml:space="preserve"> </w:t>
      </w:r>
      <w:proofErr w:type="spellStart"/>
      <w:r w:rsidRPr="00640637">
        <w:rPr>
          <w:rFonts w:ascii="Cambria" w:hAnsi="Cambria"/>
          <w:b w:val="0"/>
          <w:sz w:val="19"/>
          <w:szCs w:val="19"/>
        </w:rPr>
        <w:t>iestāde</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izmanto</w:t>
      </w:r>
      <w:proofErr w:type="spellEnd"/>
      <w:r w:rsidRPr="00640637">
        <w:rPr>
          <w:rFonts w:ascii="Cambria" w:hAnsi="Cambria"/>
          <w:b w:val="0"/>
          <w:sz w:val="19"/>
          <w:szCs w:val="19"/>
        </w:rPr>
        <w:t xml:space="preserve">, </w:t>
      </w:r>
      <w:proofErr w:type="spellStart"/>
      <w:r w:rsidRPr="00640637">
        <w:rPr>
          <w:rFonts w:ascii="Cambria" w:eastAsia="Arial Unicode MS" w:hAnsi="Cambria"/>
          <w:b w:val="0"/>
          <w:sz w:val="19"/>
          <w:szCs w:val="19"/>
        </w:rPr>
        <w:t>lai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izvērtētu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iekšējam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modelim</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izmantoto</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datu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avotu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konsekvenci</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savlaicīgumu</w:t>
      </w:r>
      <w:proofErr w:type="spellEnd"/>
      <w:r w:rsidRPr="00640637">
        <w:rPr>
          <w:rFonts w:ascii="Cambria" w:eastAsia="Arial Unicode MS" w:hAnsi="Cambria"/>
          <w:b w:val="0"/>
          <w:sz w:val="19"/>
          <w:szCs w:val="19"/>
        </w:rPr>
        <w:t xml:space="preserve"> un </w:t>
      </w:r>
      <w:proofErr w:type="spellStart"/>
      <w:r w:rsidRPr="00640637">
        <w:rPr>
          <w:rFonts w:ascii="Cambria" w:eastAsia="Arial Unicode MS" w:hAnsi="Cambria"/>
          <w:b w:val="0"/>
          <w:sz w:val="19"/>
          <w:szCs w:val="19"/>
        </w:rPr>
        <w:t>ticamību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kā</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arī</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šādu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datu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avotu</w:t>
      </w:r>
      <w:proofErr w:type="spellEnd"/>
      <w:r w:rsidRPr="00640637">
        <w:rPr>
          <w:rFonts w:ascii="Cambria" w:eastAsia="Arial Unicode MS" w:hAnsi="Cambria"/>
          <w:b w:val="0"/>
          <w:sz w:val="19"/>
          <w:szCs w:val="19"/>
        </w:rPr>
        <w:t xml:space="preserve"> </w:t>
      </w:r>
      <w:proofErr w:type="spellStart"/>
      <w:r w:rsidRPr="00640637">
        <w:rPr>
          <w:rFonts w:ascii="Cambria" w:eastAsia="Arial Unicode MS" w:hAnsi="Cambria"/>
          <w:b w:val="0"/>
          <w:sz w:val="19"/>
          <w:szCs w:val="19"/>
        </w:rPr>
        <w:t>neatkarību</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bCs/>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jc w:val="cente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p>
        </w:tc>
      </w:tr>
    </w:tbl>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neatbilst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daļēji</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nav</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piemērojams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Iestāde</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izvērtē</w:t>
      </w:r>
      <w:proofErr w:type="spellEnd"/>
      <w:r w:rsidRPr="00640637">
        <w:rPr>
          <w:rFonts w:ascii="Cambria" w:hAnsi="Cambria"/>
          <w:b w:val="0"/>
          <w:sz w:val="17"/>
          <w:szCs w:val="19"/>
        </w:rPr>
        <w:t xml:space="preserve"> </w:t>
      </w:r>
      <w:proofErr w:type="gramStart"/>
      <w:r w:rsidRPr="00640637">
        <w:rPr>
          <w:rFonts w:ascii="Cambria" w:hAnsi="Cambria"/>
          <w:b w:val="0"/>
          <w:sz w:val="17"/>
          <w:szCs w:val="19"/>
        </w:rPr>
        <w:t>un</w:t>
      </w:r>
      <w:proofErr w:type="gramEnd"/>
      <w:r w:rsidRPr="00640637">
        <w:rPr>
          <w:rFonts w:ascii="Cambria" w:hAnsi="Cambria"/>
          <w:b w:val="0"/>
          <w:sz w:val="17"/>
          <w:szCs w:val="19"/>
        </w:rPr>
        <w:t xml:space="preserve"> </w:t>
      </w:r>
      <w:proofErr w:type="spellStart"/>
      <w:r w:rsidRPr="00640637">
        <w:rPr>
          <w:rFonts w:ascii="Cambria" w:hAnsi="Cambria"/>
          <w:b w:val="0"/>
          <w:sz w:val="17"/>
          <w:szCs w:val="19"/>
        </w:rPr>
        <w:t>pamato</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aprakstot</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atbilstību</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kritērijam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pamatojoties</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uz</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iekšējiem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dokumentiem</w:t>
      </w:r>
      <w:proofErr w:type="spellEnd"/>
      <w:r w:rsidRPr="00640637">
        <w:rPr>
          <w:rFonts w:ascii="Cambria" w:hAnsi="Cambria"/>
          <w:b w:val="0"/>
          <w:sz w:val="17"/>
          <w:szCs w:val="19"/>
        </w:rPr>
        <w:t xml:space="preserve"> – </w:t>
      </w:r>
      <w:proofErr w:type="spellStart"/>
      <w:r w:rsidRPr="00640637">
        <w:rPr>
          <w:rFonts w:ascii="Cambria" w:hAnsi="Cambria"/>
          <w:b w:val="0"/>
          <w:sz w:val="17"/>
          <w:szCs w:val="19"/>
        </w:rPr>
        <w:t>politikām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procedūrām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pārskatiem</w:t>
      </w:r>
      <w:proofErr w:type="spellEnd"/>
      <w:r w:rsidRPr="00640637">
        <w:rPr>
          <w:rFonts w:ascii="Cambria" w:hAnsi="Cambria"/>
          <w:b w:val="0"/>
          <w:sz w:val="17"/>
          <w:szCs w:val="19"/>
        </w:rPr>
        <w:t xml:space="preserve"> </w:t>
      </w:r>
      <w:proofErr w:type="spellStart"/>
      <w:r w:rsidRPr="00640637">
        <w:rPr>
          <w:rFonts w:ascii="Cambria" w:hAnsi="Cambria"/>
          <w:b w:val="0"/>
          <w:sz w:val="17"/>
          <w:szCs w:val="19"/>
        </w:rPr>
        <w:t>u.c</w:t>
      </w:r>
      <w:proofErr w:type="spellEnd"/>
      <w:r w:rsidRPr="00640637">
        <w:rPr>
          <w:rFonts w:ascii="Cambria" w:hAnsi="Cambria"/>
          <w:b w:val="0"/>
          <w:sz w:val="17"/>
          <w:szCs w:val="19"/>
        </w:rPr>
        <w:t>.</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b w:val="0"/>
          <w:sz w:val="19"/>
          <w:szCs w:val="19"/>
        </w:rPr>
      </w:pPr>
      <w:r w:rsidRPr="00640637">
        <w:rPr>
          <w:rFonts w:ascii="Cambria" w:hAnsi="Cambria"/>
          <w:b w:val="0"/>
          <w:sz w:val="19"/>
          <w:szCs w:val="19"/>
        </w:rPr>
        <w:t xml:space="preserve">49. </w:t>
      </w:r>
      <w:proofErr w:type="spellStart"/>
      <w:r w:rsidRPr="00640637">
        <w:rPr>
          <w:rFonts w:ascii="Cambria" w:hAnsi="Cambria"/>
          <w:b w:val="0"/>
          <w:sz w:val="19"/>
          <w:szCs w:val="19"/>
        </w:rPr>
        <w:t>Vispārējā</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riska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pārvaldības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procesa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pārbaude</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ietver</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arī</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pārbaudes</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procesu</w:t>
      </w:r>
      <w:proofErr w:type="spellEnd"/>
      <w:r w:rsidRPr="00640637">
        <w:rPr>
          <w:rFonts w:ascii="Cambria" w:hAnsi="Cambria"/>
          <w:b w:val="0"/>
          <w:sz w:val="19"/>
          <w:szCs w:val="19"/>
        </w:rPr>
        <w:t xml:space="preserve">, </w:t>
      </w:r>
      <w:proofErr w:type="spellStart"/>
      <w:proofErr w:type="gramStart"/>
      <w:r w:rsidRPr="00640637">
        <w:rPr>
          <w:rFonts w:ascii="Cambria" w:hAnsi="Cambria"/>
          <w:b w:val="0"/>
          <w:sz w:val="19"/>
          <w:szCs w:val="19"/>
        </w:rPr>
        <w:t>ko</w:t>
      </w:r>
      <w:proofErr w:type="spellEnd"/>
      <w:proofErr w:type="gramEnd"/>
      <w:r w:rsidRPr="00640637">
        <w:rPr>
          <w:rFonts w:ascii="Cambria" w:hAnsi="Cambria"/>
          <w:b w:val="0"/>
          <w:sz w:val="19"/>
          <w:szCs w:val="19"/>
        </w:rPr>
        <w:t xml:space="preserve"> </w:t>
      </w:r>
      <w:proofErr w:type="spellStart"/>
      <w:r w:rsidRPr="00640637">
        <w:rPr>
          <w:rFonts w:ascii="Cambria" w:hAnsi="Cambria"/>
          <w:b w:val="0"/>
          <w:sz w:val="19"/>
          <w:szCs w:val="19"/>
        </w:rPr>
        <w:t>iestāde</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izmanto</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lai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izvērtētu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atpakaļejošu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pārbaudi</w:t>
      </w:r>
      <w:proofErr w:type="spellEnd"/>
      <w:r w:rsidRPr="00640637">
        <w:rPr>
          <w:rFonts w:ascii="Cambria" w:hAnsi="Cambria"/>
          <w:b w:val="0"/>
          <w:sz w:val="19"/>
          <w:szCs w:val="19"/>
        </w:rPr>
        <w:t xml:space="preserve">, kuru </w:t>
      </w:r>
      <w:proofErr w:type="spellStart"/>
      <w:r w:rsidRPr="00640637">
        <w:rPr>
          <w:rFonts w:ascii="Cambria" w:hAnsi="Cambria"/>
          <w:b w:val="0"/>
          <w:sz w:val="19"/>
          <w:szCs w:val="19"/>
        </w:rPr>
        <w:t>veic</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lai</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novērtētu</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modeļa</w:t>
      </w:r>
      <w:proofErr w:type="spellEnd"/>
      <w:r w:rsidRPr="00640637">
        <w:rPr>
          <w:rFonts w:ascii="Cambria" w:hAnsi="Cambria"/>
          <w:b w:val="0"/>
          <w:sz w:val="19"/>
          <w:szCs w:val="19"/>
        </w:rPr>
        <w:t xml:space="preserve"> </w:t>
      </w:r>
      <w:proofErr w:type="spellStart"/>
      <w:r w:rsidRPr="00640637">
        <w:rPr>
          <w:rFonts w:ascii="Cambria" w:hAnsi="Cambria"/>
          <w:b w:val="0"/>
          <w:sz w:val="19"/>
          <w:szCs w:val="19"/>
        </w:rPr>
        <w:t>precizitāti</w:t>
      </w:r>
      <w:proofErr w:type="spellEnd"/>
      <w:r w:rsidRPr="00640637">
        <w:rPr>
          <w:rFonts w:ascii="Cambria" w:hAnsi="Cambria"/>
          <w:b w:val="0"/>
          <w:sz w:val="19"/>
          <w:szCs w:val="19"/>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50. I</w:t>
      </w:r>
      <w:r w:rsidRPr="00640637">
        <w:rPr>
          <w:rFonts w:ascii="Cambria" w:eastAsia="Arial Unicode MS" w:hAnsi="Cambria"/>
          <w:sz w:val="19"/>
          <w:szCs w:val="19"/>
          <w:shd w:val="clear" w:color="auto" w:fill="FFFFFF"/>
          <w:lang w:val="lv-LV"/>
        </w:rPr>
        <w:t>estāde visos IMTR izmanto jaunākos paņēmienus un praksi.</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b/>
          <w:sz w:val="19"/>
          <w:szCs w:val="19"/>
          <w:lang w:val="lv-LV"/>
        </w:rPr>
      </w:pPr>
      <w:r>
        <w:rPr>
          <w:rFonts w:ascii="Cambria" w:hAnsi="Cambria"/>
          <w:b/>
          <w:bCs/>
          <w:sz w:val="19"/>
          <w:szCs w:val="19"/>
          <w:lang w:val="lv-LV"/>
        </w:rPr>
        <w:br w:type="page"/>
      </w:r>
      <w:r w:rsidRPr="00640637">
        <w:rPr>
          <w:rFonts w:ascii="Cambria" w:hAnsi="Cambria"/>
          <w:b/>
          <w:bCs/>
          <w:sz w:val="19"/>
          <w:szCs w:val="19"/>
          <w:lang w:val="lv-LV"/>
        </w:rPr>
        <w:lastRenderedPageBreak/>
        <w:t>4. Iekšējā validācija</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51. Iestādei ir procesi, lai nodrošinātu, ka tās IMTR validē atbilstoši kvalificētas personas, kuras ir neatkarīgas no izstrādes procesa, lai nodrošinātu, ka tie ir konceptuāli pamatoti un adekvāti aptver visu attiecīgo risku.</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 xml:space="preserve">52. </w:t>
      </w:r>
      <w:r w:rsidRPr="00640637">
        <w:rPr>
          <w:rFonts w:ascii="Cambria" w:eastAsia="Arial Unicode MS" w:hAnsi="Cambria"/>
          <w:sz w:val="19"/>
          <w:szCs w:val="19"/>
          <w:lang w:val="lv-LV"/>
        </w:rPr>
        <w:t>Iekšējo validāciju veic pēc tam, kad iekšējais modelis ir sākotnēji izstrādāts, un pēc tam, kad tam ir veiktas jebkāda veida būtiskas izmaiņas. Validāciju veic arī periodiski, bet īpaši gadījumos, ja ir bijušas kādas būtiskas strukturālas izmaiņas tirgū vai izmaiņas portfeļa sastāvā, kuras iekšējais modelis, iespējams, neaptver pilnībā</w:t>
      </w:r>
      <w:r w:rsidRPr="00640637">
        <w:rPr>
          <w:rFonts w:ascii="Cambria" w:hAnsi="Cambria"/>
          <w:sz w:val="19"/>
          <w:szCs w:val="19"/>
          <w:lang w:val="lv-LV"/>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53. Attīstoties novērtēšanas tehnikām un veidojoties labākajai praksei, iestāde piemēro šos jauninājumus tās iekšējam modelim.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54. Iestāde veic atpakaļejošu pārbaudi attiecībā uz portfeļu faktiskajām un hipotētiskajām izmaiņām.</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55. IMTR novērtējums neaprobežojas tikai ar atpakaļejošo pārbaužu veikšanu, bet ietver arī šādas darbības:</w:t>
      </w:r>
    </w:p>
    <w:p w:rsidR="00ED4C41" w:rsidRPr="00640637" w:rsidRDefault="00ED4C41" w:rsidP="00ED4C41">
      <w:pPr>
        <w:pStyle w:val="norm"/>
        <w:shd w:val="clear" w:color="auto" w:fill="FFFFFF"/>
        <w:tabs>
          <w:tab w:val="left" w:pos="426"/>
        </w:tabs>
        <w:spacing w:before="130" w:beforeAutospacing="0" w:after="0" w:afterAutospacing="0" w:line="260" w:lineRule="exact"/>
        <w:jc w:val="both"/>
        <w:textAlignment w:val="baseline"/>
        <w:rPr>
          <w:rFonts w:ascii="Cambria" w:eastAsia="Arial Unicode MS" w:hAnsi="Cambria"/>
          <w:sz w:val="19"/>
          <w:szCs w:val="19"/>
        </w:rPr>
      </w:pPr>
      <w:r w:rsidRPr="00640637">
        <w:rPr>
          <w:rFonts w:ascii="Cambria" w:eastAsia="Arial Unicode MS" w:hAnsi="Cambria"/>
          <w:sz w:val="19"/>
          <w:szCs w:val="19"/>
        </w:rPr>
        <w:t>a)</w:t>
      </w:r>
      <w:r w:rsidRPr="00640637">
        <w:rPr>
          <w:rFonts w:ascii="Cambria" w:eastAsia="Arial Unicode MS" w:hAnsi="Cambria"/>
          <w:sz w:val="19"/>
          <w:szCs w:val="19"/>
          <w:bdr w:val="none" w:sz="0" w:space="0" w:color="auto" w:frame="1"/>
        </w:rPr>
        <w:t xml:space="preserve"> </w:t>
      </w:r>
      <w:r w:rsidRPr="00640637">
        <w:rPr>
          <w:rFonts w:ascii="Cambria" w:eastAsia="Arial Unicode MS" w:hAnsi="Cambria"/>
          <w:sz w:val="19"/>
          <w:szCs w:val="19"/>
        </w:rPr>
        <w:t>pārbaudes, lai pārliecinātos, ka iekšējos modeļos izmantotie pieņēmumi ir atbilstoši un nenovērtē risku ne par zemu, ne par augstu;</w:t>
      </w:r>
    </w:p>
    <w:p w:rsidR="00ED4C41" w:rsidRPr="00640637" w:rsidRDefault="00ED4C41" w:rsidP="00ED4C41">
      <w:pPr>
        <w:pStyle w:val="norm"/>
        <w:shd w:val="clear" w:color="auto" w:fill="FFFFFF"/>
        <w:tabs>
          <w:tab w:val="left" w:pos="426"/>
        </w:tabs>
        <w:spacing w:before="130" w:beforeAutospacing="0" w:after="0" w:afterAutospacing="0" w:line="260" w:lineRule="exact"/>
        <w:jc w:val="both"/>
        <w:textAlignment w:val="baseline"/>
        <w:rPr>
          <w:rFonts w:ascii="Cambria" w:eastAsia="Arial Unicode MS" w:hAnsi="Cambria"/>
          <w:sz w:val="19"/>
          <w:szCs w:val="19"/>
        </w:rPr>
      </w:pPr>
      <w:r w:rsidRPr="00640637">
        <w:rPr>
          <w:rFonts w:ascii="Cambria" w:eastAsia="Arial Unicode MS" w:hAnsi="Cambria"/>
          <w:sz w:val="19"/>
          <w:szCs w:val="19"/>
        </w:rPr>
        <w:t>b)</w:t>
      </w:r>
      <w:r w:rsidRPr="00640637">
        <w:rPr>
          <w:rFonts w:ascii="Cambria" w:eastAsia="Arial Unicode MS" w:hAnsi="Cambria"/>
          <w:sz w:val="19"/>
          <w:szCs w:val="19"/>
          <w:bdr w:val="none" w:sz="0" w:space="0" w:color="auto" w:frame="1"/>
        </w:rPr>
        <w:t xml:space="preserve"> </w:t>
      </w:r>
      <w:r w:rsidRPr="00640637">
        <w:rPr>
          <w:rFonts w:ascii="Cambria" w:eastAsia="Arial Unicode MS" w:hAnsi="Cambria"/>
          <w:sz w:val="19"/>
          <w:szCs w:val="19"/>
        </w:rPr>
        <w:t>papildus regulatīvajām atpakaļejošas pārbaudes programmām iestāde veic savas iekšējā modeļa validācijas pārbaudes, tostarp atpakaļejošas pārbaudes, attiecībā uz savu portfeļu riskiem un struktūrām;</w:t>
      </w:r>
    </w:p>
    <w:p w:rsidR="00ED4C41" w:rsidRPr="00640637" w:rsidRDefault="00ED4C41" w:rsidP="00ED4C41">
      <w:pPr>
        <w:tabs>
          <w:tab w:val="left" w:pos="426"/>
        </w:tabs>
        <w:spacing w:before="130" w:line="260" w:lineRule="exact"/>
        <w:jc w:val="both"/>
        <w:rPr>
          <w:rFonts w:ascii="Cambria" w:eastAsia="Arial Unicode MS" w:hAnsi="Cambria"/>
          <w:sz w:val="19"/>
          <w:szCs w:val="19"/>
          <w:lang w:val="lv-LV"/>
        </w:rPr>
      </w:pPr>
      <w:r w:rsidRPr="00640637">
        <w:rPr>
          <w:rFonts w:ascii="Cambria" w:eastAsia="Arial Unicode MS" w:hAnsi="Cambria"/>
          <w:sz w:val="19"/>
          <w:szCs w:val="19"/>
          <w:lang w:val="lv-LV"/>
        </w:rPr>
        <w:t>c)</w:t>
      </w:r>
      <w:r w:rsidRPr="00640637">
        <w:rPr>
          <w:rFonts w:ascii="Cambria" w:eastAsia="Arial Unicode MS" w:hAnsi="Cambria"/>
          <w:sz w:val="19"/>
          <w:szCs w:val="19"/>
          <w:bdr w:val="none" w:sz="0" w:space="0" w:color="auto" w:frame="1"/>
          <w:lang w:val="lv-LV"/>
        </w:rPr>
        <w:t xml:space="preserve"> </w:t>
      </w:r>
      <w:r w:rsidRPr="00640637">
        <w:rPr>
          <w:rFonts w:ascii="Cambria" w:eastAsia="Arial Unicode MS" w:hAnsi="Cambria"/>
          <w:sz w:val="19"/>
          <w:szCs w:val="19"/>
          <w:lang w:val="lv-LV"/>
        </w:rPr>
        <w:t>hipotētisko portfeļu izmantošanu, lai pārliecinātos par iekšējo modeļu spēju ņemt vērā konkrētas strukturālas iezīmes, kas varētu kļūt aktuālas, piemēram, nozīmīgus bāzes riskus un koncentrācijas risku.</w:t>
      </w:r>
    </w:p>
    <w:p w:rsidR="00ED4C41" w:rsidRPr="00640637" w:rsidRDefault="00ED4C41" w:rsidP="00ED4C41">
      <w:pPr>
        <w:tabs>
          <w:tab w:val="left" w:pos="426"/>
        </w:tabs>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7069F" w:rsidRDefault="00ED4C41" w:rsidP="00ED4C41">
      <w:pPr>
        <w:spacing w:before="130" w:line="260" w:lineRule="exact"/>
        <w:jc w:val="both"/>
        <w:rPr>
          <w:rFonts w:ascii="Cambria" w:hAnsi="Cambria"/>
          <w:b/>
          <w:bCs/>
          <w:sz w:val="19"/>
          <w:szCs w:val="19"/>
          <w:lang w:val="lv-LV"/>
        </w:rPr>
      </w:pPr>
      <w:r>
        <w:rPr>
          <w:rFonts w:ascii="Cambria" w:hAnsi="Cambria"/>
          <w:b/>
          <w:bCs/>
          <w:sz w:val="19"/>
          <w:szCs w:val="19"/>
          <w:lang w:val="lv-LV"/>
        </w:rPr>
        <w:br w:type="page"/>
      </w:r>
      <w:r w:rsidRPr="0067069F">
        <w:rPr>
          <w:rFonts w:ascii="Cambria" w:hAnsi="Cambria"/>
          <w:b/>
          <w:bCs/>
          <w:sz w:val="19"/>
          <w:szCs w:val="19"/>
          <w:lang w:val="lv-LV"/>
        </w:rPr>
        <w:lastRenderedPageBreak/>
        <w:t>5. Specifiskā riska modelēšanas prasības</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pStyle w:val="norm"/>
        <w:shd w:val="clear" w:color="auto" w:fill="FFFFFF"/>
        <w:spacing w:before="130" w:beforeAutospacing="0" w:after="0" w:afterAutospacing="0" w:line="260" w:lineRule="exact"/>
        <w:textAlignment w:val="baseline"/>
        <w:rPr>
          <w:rFonts w:ascii="Cambria" w:eastAsia="Arial Unicode MS" w:hAnsi="Cambria"/>
          <w:sz w:val="19"/>
          <w:szCs w:val="19"/>
        </w:rPr>
      </w:pPr>
      <w:r w:rsidRPr="00640637">
        <w:rPr>
          <w:rFonts w:ascii="Cambria" w:hAnsi="Cambria"/>
          <w:sz w:val="19"/>
          <w:szCs w:val="19"/>
        </w:rPr>
        <w:t xml:space="preserve">56. </w:t>
      </w:r>
      <w:r w:rsidRPr="00640637">
        <w:rPr>
          <w:rFonts w:ascii="Cambria" w:eastAsia="Arial Unicode MS" w:hAnsi="Cambria"/>
          <w:sz w:val="19"/>
          <w:szCs w:val="19"/>
        </w:rPr>
        <w:t>Iekšējais modelis, ko izmanto, lai aprēķinātu pašu kapitāla prasības specifiskajam riskam, un iekšējais modelis korelācijas tirdzniecībai atbilst šādām papildu prasībām:</w:t>
      </w:r>
    </w:p>
    <w:p w:rsidR="00ED4C41" w:rsidRPr="00640637" w:rsidRDefault="00ED4C41" w:rsidP="00ED4C41">
      <w:pPr>
        <w:pStyle w:val="norm"/>
        <w:shd w:val="clear" w:color="auto" w:fill="FFFFFF"/>
        <w:tabs>
          <w:tab w:val="left" w:pos="426"/>
        </w:tabs>
        <w:spacing w:before="130" w:beforeAutospacing="0" w:after="0" w:afterAutospacing="0" w:line="260" w:lineRule="exact"/>
        <w:textAlignment w:val="baseline"/>
        <w:rPr>
          <w:rFonts w:ascii="Cambria" w:eastAsia="Arial Unicode MS" w:hAnsi="Cambria"/>
          <w:sz w:val="19"/>
          <w:szCs w:val="19"/>
        </w:rPr>
      </w:pPr>
      <w:r w:rsidRPr="00640637">
        <w:rPr>
          <w:rFonts w:ascii="Cambria" w:eastAsia="Arial Unicode MS" w:hAnsi="Cambria"/>
          <w:sz w:val="19"/>
          <w:szCs w:val="19"/>
        </w:rPr>
        <w:t>a) tas skaidro vēsturiskās cenu izmaiņas portfelī;</w:t>
      </w:r>
    </w:p>
    <w:p w:rsidR="00ED4C41" w:rsidRPr="00640637" w:rsidRDefault="00ED4C41" w:rsidP="00ED4C41">
      <w:pPr>
        <w:pStyle w:val="norm"/>
        <w:shd w:val="clear" w:color="auto" w:fill="FFFFFF"/>
        <w:tabs>
          <w:tab w:val="left" w:pos="426"/>
        </w:tabs>
        <w:spacing w:before="130" w:beforeAutospacing="0" w:after="0" w:afterAutospacing="0" w:line="260" w:lineRule="exact"/>
        <w:jc w:val="both"/>
        <w:textAlignment w:val="baseline"/>
        <w:rPr>
          <w:rFonts w:ascii="Cambria" w:eastAsia="Arial Unicode MS" w:hAnsi="Cambria"/>
          <w:sz w:val="19"/>
          <w:szCs w:val="19"/>
        </w:rPr>
      </w:pPr>
      <w:r w:rsidRPr="00640637">
        <w:rPr>
          <w:rFonts w:ascii="Cambria" w:eastAsia="Arial Unicode MS" w:hAnsi="Cambria"/>
          <w:sz w:val="19"/>
          <w:szCs w:val="19"/>
        </w:rPr>
        <w:t>b)</w:t>
      </w:r>
      <w:r w:rsidRPr="00640637">
        <w:rPr>
          <w:rFonts w:ascii="Cambria" w:eastAsia="Arial Unicode MS" w:hAnsi="Cambria"/>
          <w:sz w:val="19"/>
          <w:szCs w:val="19"/>
          <w:bdr w:val="none" w:sz="0" w:space="0" w:color="auto" w:frame="1"/>
        </w:rPr>
        <w:t xml:space="preserve"> </w:t>
      </w:r>
      <w:r w:rsidRPr="00640637">
        <w:rPr>
          <w:rFonts w:ascii="Cambria" w:eastAsia="Arial Unicode MS" w:hAnsi="Cambria"/>
          <w:sz w:val="19"/>
          <w:szCs w:val="19"/>
        </w:rPr>
        <w:t>tas aptver portfeļa koncentrācijas pakāpi un izmaiņas struktūrā;</w:t>
      </w:r>
    </w:p>
    <w:p w:rsidR="00ED4C41" w:rsidRPr="00640637" w:rsidRDefault="00ED4C41" w:rsidP="00ED4C41">
      <w:pPr>
        <w:pStyle w:val="norm"/>
        <w:shd w:val="clear" w:color="auto" w:fill="FFFFFF"/>
        <w:tabs>
          <w:tab w:val="left" w:pos="426"/>
        </w:tabs>
        <w:spacing w:before="130" w:beforeAutospacing="0" w:after="0" w:afterAutospacing="0" w:line="260" w:lineRule="exact"/>
        <w:jc w:val="both"/>
        <w:textAlignment w:val="baseline"/>
        <w:rPr>
          <w:rFonts w:ascii="Cambria" w:eastAsia="Arial Unicode MS" w:hAnsi="Cambria"/>
          <w:sz w:val="19"/>
          <w:szCs w:val="19"/>
        </w:rPr>
      </w:pPr>
      <w:r w:rsidRPr="00640637">
        <w:rPr>
          <w:rFonts w:ascii="Cambria" w:eastAsia="Arial Unicode MS" w:hAnsi="Cambria"/>
          <w:sz w:val="19"/>
          <w:szCs w:val="19"/>
        </w:rPr>
        <w:t>c)</w:t>
      </w:r>
      <w:r w:rsidRPr="00640637">
        <w:rPr>
          <w:rFonts w:ascii="Cambria" w:eastAsia="Arial Unicode MS" w:hAnsi="Cambria"/>
          <w:sz w:val="19"/>
          <w:szCs w:val="19"/>
          <w:bdr w:val="none" w:sz="0" w:space="0" w:color="auto" w:frame="1"/>
        </w:rPr>
        <w:t xml:space="preserve"> </w:t>
      </w:r>
      <w:r w:rsidRPr="00640637">
        <w:rPr>
          <w:rFonts w:ascii="Cambria" w:eastAsia="Arial Unicode MS" w:hAnsi="Cambria"/>
          <w:sz w:val="19"/>
          <w:szCs w:val="19"/>
        </w:rPr>
        <w:t>tas ir izturīgs pret nelabvēlīgu vidi;</w:t>
      </w:r>
    </w:p>
    <w:p w:rsidR="00ED4C41" w:rsidRPr="00640637" w:rsidRDefault="00ED4C41" w:rsidP="00ED4C41">
      <w:pPr>
        <w:pStyle w:val="norm"/>
        <w:shd w:val="clear" w:color="auto" w:fill="FFFFFF"/>
        <w:tabs>
          <w:tab w:val="left" w:pos="426"/>
        </w:tabs>
        <w:spacing w:before="130" w:beforeAutospacing="0" w:after="0" w:afterAutospacing="0" w:line="260" w:lineRule="exact"/>
        <w:jc w:val="both"/>
        <w:textAlignment w:val="baseline"/>
        <w:rPr>
          <w:rFonts w:ascii="Cambria" w:eastAsia="Arial Unicode MS" w:hAnsi="Cambria"/>
          <w:sz w:val="19"/>
          <w:szCs w:val="19"/>
        </w:rPr>
      </w:pPr>
      <w:r w:rsidRPr="00640637">
        <w:rPr>
          <w:rFonts w:ascii="Cambria" w:eastAsia="Arial Unicode MS" w:hAnsi="Cambria"/>
          <w:sz w:val="19"/>
          <w:szCs w:val="19"/>
        </w:rPr>
        <w:t xml:space="preserve">d) tas ir validēts ar atpakaļejošu pārbaudi nolūkā novērtēt, vai specifiskais risks ir aptverts precīzi; ja iestāde veic šādu atpakaļejošu pārbaudi, pamatojoties uz attiecīgiem </w:t>
      </w:r>
      <w:proofErr w:type="spellStart"/>
      <w:r w:rsidRPr="00640637">
        <w:rPr>
          <w:rFonts w:ascii="Cambria" w:eastAsia="Arial Unicode MS" w:hAnsi="Cambria"/>
          <w:sz w:val="19"/>
          <w:szCs w:val="19"/>
        </w:rPr>
        <w:t>apakšportfeļiem</w:t>
      </w:r>
      <w:proofErr w:type="spellEnd"/>
      <w:r w:rsidRPr="00640637">
        <w:rPr>
          <w:rFonts w:ascii="Cambria" w:eastAsia="Arial Unicode MS" w:hAnsi="Cambria"/>
          <w:sz w:val="19"/>
          <w:szCs w:val="19"/>
        </w:rPr>
        <w:t>, tos izvēlas konsekventi;</w:t>
      </w:r>
    </w:p>
    <w:p w:rsidR="00ED4C41" w:rsidRPr="00640637" w:rsidRDefault="00ED4C41" w:rsidP="00ED4C41">
      <w:pPr>
        <w:pStyle w:val="norm"/>
        <w:shd w:val="clear" w:color="auto" w:fill="FFFFFF"/>
        <w:tabs>
          <w:tab w:val="left" w:pos="426"/>
        </w:tabs>
        <w:spacing w:before="130" w:beforeAutospacing="0" w:after="0" w:afterAutospacing="0" w:line="260" w:lineRule="exact"/>
        <w:jc w:val="both"/>
        <w:textAlignment w:val="baseline"/>
        <w:rPr>
          <w:rFonts w:ascii="Cambria" w:eastAsia="Arial Unicode MS" w:hAnsi="Cambria"/>
          <w:sz w:val="19"/>
          <w:szCs w:val="19"/>
        </w:rPr>
      </w:pPr>
      <w:r w:rsidRPr="00640637">
        <w:rPr>
          <w:rFonts w:ascii="Cambria" w:eastAsia="Arial Unicode MS" w:hAnsi="Cambria"/>
          <w:sz w:val="19"/>
          <w:szCs w:val="19"/>
        </w:rPr>
        <w:t>e)</w:t>
      </w:r>
      <w:r w:rsidRPr="00640637">
        <w:rPr>
          <w:rFonts w:ascii="Cambria" w:eastAsia="Arial Unicode MS" w:hAnsi="Cambria"/>
          <w:sz w:val="19"/>
          <w:szCs w:val="19"/>
          <w:bdr w:val="none" w:sz="0" w:space="0" w:color="auto" w:frame="1"/>
        </w:rPr>
        <w:t xml:space="preserve"> </w:t>
      </w:r>
      <w:r w:rsidRPr="00640637">
        <w:rPr>
          <w:rFonts w:ascii="Cambria" w:eastAsia="Arial Unicode MS" w:hAnsi="Cambria"/>
          <w:sz w:val="19"/>
          <w:szCs w:val="19"/>
        </w:rPr>
        <w:t>tas aptver ar konkrētu parādnieku saistīto bāzes risku, kas nozīmē, ka modelis ir jutīgs pret būtiskām individuāli raksturīgām atšķirībām starp līdzīgām, bet ne identiskām pozīcijām;</w:t>
      </w:r>
    </w:p>
    <w:p w:rsidR="00ED4C41" w:rsidRPr="00640637" w:rsidRDefault="00ED4C41" w:rsidP="00ED4C41">
      <w:pPr>
        <w:pStyle w:val="norm"/>
        <w:shd w:val="clear" w:color="auto" w:fill="FFFFFF"/>
        <w:tabs>
          <w:tab w:val="left" w:pos="426"/>
        </w:tabs>
        <w:spacing w:before="130" w:beforeAutospacing="0" w:after="0" w:afterAutospacing="0" w:line="260" w:lineRule="exact"/>
        <w:jc w:val="both"/>
        <w:textAlignment w:val="baseline"/>
        <w:rPr>
          <w:rFonts w:ascii="Cambria" w:eastAsia="Arial Unicode MS" w:hAnsi="Cambria"/>
          <w:sz w:val="19"/>
          <w:szCs w:val="19"/>
        </w:rPr>
      </w:pPr>
      <w:r w:rsidRPr="00640637">
        <w:rPr>
          <w:rFonts w:ascii="Cambria" w:eastAsia="Arial Unicode MS" w:hAnsi="Cambria"/>
          <w:sz w:val="19"/>
          <w:szCs w:val="19"/>
        </w:rPr>
        <w:t>f)</w:t>
      </w:r>
      <w:r w:rsidRPr="00640637">
        <w:rPr>
          <w:rFonts w:ascii="Cambria" w:eastAsia="Arial Unicode MS" w:hAnsi="Cambria"/>
          <w:sz w:val="19"/>
          <w:szCs w:val="19"/>
          <w:bdr w:val="none" w:sz="0" w:space="0" w:color="auto" w:frame="1"/>
        </w:rPr>
        <w:t xml:space="preserve"> </w:t>
      </w:r>
      <w:r w:rsidRPr="00640637">
        <w:rPr>
          <w:rFonts w:ascii="Cambria" w:eastAsia="Arial Unicode MS" w:hAnsi="Cambria"/>
          <w:sz w:val="19"/>
          <w:szCs w:val="19"/>
        </w:rPr>
        <w:t>tas ietver gadījuma risku.</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eastAsia="Arial Unicode MS" w:hAnsi="Cambria"/>
          <w:sz w:val="19"/>
          <w:szCs w:val="19"/>
          <w:lang w:val="lv-LV"/>
        </w:rPr>
      </w:pPr>
      <w:r w:rsidRPr="00640637">
        <w:rPr>
          <w:rFonts w:ascii="Cambria" w:hAnsi="Cambria"/>
          <w:sz w:val="19"/>
          <w:szCs w:val="19"/>
          <w:lang w:val="lv-LV"/>
        </w:rPr>
        <w:t xml:space="preserve">57. </w:t>
      </w:r>
      <w:r w:rsidRPr="00640637">
        <w:rPr>
          <w:rFonts w:ascii="Cambria" w:eastAsia="Arial Unicode MS" w:hAnsi="Cambria"/>
          <w:sz w:val="19"/>
          <w:szCs w:val="19"/>
          <w:lang w:val="lv-LV"/>
        </w:rPr>
        <w:t>Iestāde var izvēlēties specifiskā riska pašu kapitāla prasības aprēķinā, kurā izmanto iekšējo modeli, neiekļaut pozīcijas, attiecībā uz kurām tā izpilda pašu kapitāla prasības specifiskajam riskam saskaņā ar ES Regulas Nr. 575/2013 332. panta 1. punkta e) apakšpunktu vai ES Regulas Nr. 575/2013 337. pantu, izņemot pozīcijas, uz kurām attiecas ES Regulas Nr. 575/2013 377. pantā minētā pieeja.</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lastRenderedPageBreak/>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58. Iekšējais modelis neietver tirgoto parāda instrumentu saistību nepildīšanas un migrācijas risku gadījumā, ja iestāde aptver šos riskus ar ES Regulas Nr. 575/2013 Trešās daļas IV sadaļas 5. nodaļas 4. iedaļā noteiktajām prasībām.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spacing w:before="130" w:line="260" w:lineRule="exact"/>
        <w:jc w:val="both"/>
        <w:rPr>
          <w:rFonts w:ascii="Cambria" w:hAnsi="Cambria"/>
          <w:b/>
          <w:bCs/>
          <w:sz w:val="19"/>
          <w:szCs w:val="19"/>
          <w:lang w:val="lv-LV"/>
        </w:rPr>
      </w:pPr>
      <w:r w:rsidRPr="00640637">
        <w:rPr>
          <w:rFonts w:ascii="Cambria" w:hAnsi="Cambria"/>
          <w:b/>
          <w:bCs/>
          <w:sz w:val="19"/>
          <w:szCs w:val="19"/>
          <w:lang w:val="lv-LV"/>
        </w:rPr>
        <w:t>6. IRC iekšējais modelis</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59. Ja iestāde izmanto iekšējo modeli tirgoto parāda instrumentu specifiskā riska pašu kapitāla prasību aprēķināšanai, iestāde izveido arī IRC iekšējo modeli, lai ietvertu tirdzniecības portfeļa pozīciju saistību un migrācijas riskus, kuri ir inkrementāli riskiem, kas ietveri RPV, kura aprēķināta atbilstoši ES Regulas Nr. 575/2013 365. panta 1.</w:t>
      </w:r>
      <w:r>
        <w:rPr>
          <w:rFonts w:ascii="Cambria" w:hAnsi="Cambria"/>
          <w:sz w:val="19"/>
          <w:szCs w:val="19"/>
          <w:lang w:val="lv-LV"/>
        </w:rPr>
        <w:t> </w:t>
      </w:r>
      <w:r w:rsidRPr="00640637">
        <w:rPr>
          <w:rFonts w:ascii="Cambria" w:hAnsi="Cambria"/>
          <w:sz w:val="19"/>
          <w:szCs w:val="19"/>
          <w:lang w:val="lv-LV"/>
        </w:rPr>
        <w:t>punktam.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eastAsia="Arial Unicode MS" w:hAnsi="Cambria"/>
          <w:sz w:val="19"/>
          <w:szCs w:val="19"/>
          <w:lang w:val="lv-LV"/>
        </w:rPr>
      </w:pPr>
      <w:r w:rsidRPr="00640637">
        <w:rPr>
          <w:rFonts w:ascii="Cambria" w:hAnsi="Cambria"/>
          <w:sz w:val="19"/>
          <w:szCs w:val="19"/>
          <w:lang w:val="lv-LV"/>
        </w:rPr>
        <w:t xml:space="preserve">60. IRC iekšējais modelis atbilst ES Regulas Nr. 575/2013 372. pantam, </w:t>
      </w:r>
      <w:r w:rsidRPr="00640637">
        <w:rPr>
          <w:rFonts w:ascii="Cambria" w:eastAsia="Arial Unicode MS" w:hAnsi="Cambria"/>
          <w:sz w:val="19"/>
          <w:szCs w:val="19"/>
          <w:lang w:val="lv-LV"/>
        </w:rPr>
        <w:t>pieņemot nemainīgu riska līmeni, un vajadzības gadījumā tiek pielāgots, lai atspoguļotu likviditātes, koncentrāciju, riska ierobežošanas un izvēles iespēju ietekmi.</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61. IRC iekšējais modelis nodrošina pamatotu riska diferenciāciju un precīzas un konsekventas inkrementālā saistību nepildīšanas un migrācijas riska aplēses.</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62. IRC iekšējā modeļa aplēsēm attiecībā uz iespējamiem zaudējumiem ir būtiska nozīme iestādes riska pārvaldīšanā.</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63. Tirgus un pozīciju dati, ko izmanto IRC iekšējā modelī, tiek atjaunināti, un tiem tiek veikts pienācīgs kvalitātes novērtējums.</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 xml:space="preserve">64. IRC iekšējais modelis atbilst ES Regulas Nr. 575/2013 </w:t>
      </w:r>
      <w:r w:rsidRPr="00640637">
        <w:rPr>
          <w:rFonts w:ascii="Cambria" w:eastAsia="Arial Unicode MS" w:hAnsi="Cambria"/>
          <w:sz w:val="19"/>
          <w:szCs w:val="19"/>
          <w:lang w:val="lv-LV"/>
        </w:rPr>
        <w:t>367. panta 3. punktā, 368. pantā, 369. panta 1. punktā un 370. panta b), c), e) un f) apakšpunktā noteiktajām prasībām</w:t>
      </w:r>
      <w:r w:rsidRPr="00640637">
        <w:rPr>
          <w:rFonts w:ascii="Cambria" w:hAnsi="Cambria"/>
          <w:sz w:val="19"/>
          <w:szCs w:val="19"/>
          <w:lang w:val="lv-LV"/>
        </w:rPr>
        <w:t>.</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b/>
          <w:bCs/>
          <w:sz w:val="19"/>
          <w:szCs w:val="19"/>
          <w:lang w:val="lv-LV"/>
        </w:rPr>
      </w:pPr>
      <w:r w:rsidRPr="00640637">
        <w:rPr>
          <w:rFonts w:ascii="Cambria" w:hAnsi="Cambria"/>
          <w:b/>
          <w:bCs/>
          <w:sz w:val="19"/>
          <w:szCs w:val="19"/>
          <w:lang w:val="lv-LV"/>
        </w:rPr>
        <w:t>6.1. IRC iekšējā modeļa darbības joma</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 xml:space="preserve">65. IRC iekšējais modelis ietver visas pozīcijas, kam piemēro specifiskā riska pašu kapitāla prasību, tostarp tās, kurām piemēro 0% specifiskā riska kapitāla prasību saskaņā ar ES Regulas Nr. 575/2013 336. pantu. IRC iekšējais modelis neietver </w:t>
      </w:r>
      <w:proofErr w:type="spellStart"/>
      <w:r w:rsidRPr="00640637">
        <w:rPr>
          <w:rFonts w:ascii="Cambria" w:hAnsi="Cambria"/>
          <w:sz w:val="19"/>
          <w:szCs w:val="19"/>
          <w:lang w:val="lv-LV"/>
        </w:rPr>
        <w:t>vērtspapīrošanas</w:t>
      </w:r>
      <w:proofErr w:type="spellEnd"/>
      <w:r w:rsidRPr="00640637">
        <w:rPr>
          <w:rFonts w:ascii="Cambria" w:hAnsi="Cambria"/>
          <w:sz w:val="19"/>
          <w:szCs w:val="19"/>
          <w:lang w:val="lv-LV"/>
        </w:rPr>
        <w:t xml:space="preserve"> pozīcijas un n-tā saistību nepildīšanas gadījuma kredītu atvasinātos instrumentus.</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66. Iestādes IRC iekšējā modelī ietver visas biržas sarakstos iekļauto kapitāla vērtspapīru pozīcijas un atvasināto instrumentu pozīcijas, pamatojoties uz biržas sarakstos iekļautajiem kapitāla vērtspapīriem. Iestāde to dara konsekventi, un šāda pieeja ir atbilstoša tam, kā iestāde iekšēji mēra un pārvalda risku.</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lastRenderedPageBreak/>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b/>
          <w:bCs/>
          <w:sz w:val="19"/>
          <w:szCs w:val="19"/>
          <w:lang w:val="lv-LV"/>
        </w:rPr>
      </w:pPr>
      <w:r w:rsidRPr="00640637">
        <w:rPr>
          <w:rFonts w:ascii="Cambria" w:hAnsi="Cambria"/>
          <w:b/>
          <w:bCs/>
          <w:sz w:val="19"/>
          <w:szCs w:val="19"/>
          <w:lang w:val="lv-LV"/>
        </w:rPr>
        <w:t>6.2. IRC iekšējā modeļa parametri</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67. IRC iekšējais modelis aprēķina skaitli, kas raksturo saistību nepildīšanas vai iekšējo vai ārējo reitingu migrācijas radītos zaudējumus ar 99.9% ticamības intervālu viena gada laikā. Aprēķins tiek veikts vismaz vienu reizi nedēļā.</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bCs/>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68. Korelācijas pieņēmumus pamato ar objektīvo datu analīzi konceptuāli pamatotā sistēmā. Iekšējais modelis pienācīgi atspoguļo emitentu koncentrācijas. Modelis atspoguļo arī koncentrācijas, kas spriedzes apstākļos var rasties katrā produktu kategorijā un starp produktu kategorijām.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69. IRC iekšējais modelis atspoguļo ietekmi, ko rada korelācijas starp saistību nepildīšanas un migrācijas gadījumiem. Tas neatspoguļo ietekmi, ko rada diversifikācija starp, no vienas puses, saistību nepildīšanas un migrācijas gadījumiem un, no otras puses, citiem tirgus riska faktoriem.</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 xml:space="preserve">Atbilstības </w:t>
            </w:r>
            <w:r w:rsidRPr="00FE7D31">
              <w:rPr>
                <w:rFonts w:ascii="Cambria" w:hAnsi="Cambria"/>
                <w:sz w:val="19"/>
                <w:szCs w:val="19"/>
                <w:lang w:val="lv-LV"/>
              </w:rPr>
              <w:lastRenderedPageBreak/>
              <w:t>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lastRenderedPageBreak/>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 xml:space="preserve">Atsauce uz iestādes iekšējiem dokumentiem, norādot </w:t>
            </w:r>
            <w:r w:rsidRPr="00FE7D31">
              <w:rPr>
                <w:rFonts w:ascii="Cambria" w:hAnsi="Cambria"/>
                <w:sz w:val="19"/>
                <w:szCs w:val="19"/>
                <w:lang w:val="lv-LV"/>
              </w:rPr>
              <w:lastRenderedPageBreak/>
              <w:t>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70. Iekšējā modeļa pamatā ir pieņēmums par nemainīgu riska līmeni viena gada laikā, netieši norādot, ka atsevišķa tirdzniecības portfeļa pozīcija vai pozīciju kopums, kam likviditātes periodā ir radusies saistību neizpilde vai migrācija, ir jālīdzsvaro likviditātes perioda beigās, lai iegūtu sākotnējo riska līmeni. Iestāde var arī nolemt konsekventi izmantot viena gada laikā nemainīgu pozīciju pieņēmumu.</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71. Likviditātes periodus nosaka atbilstīgi laikam, kas nepieciešams, lai saspringtos tirgus apstākļos pārdotu attiecīgo pozīciju vai ierobežotu visus būtiski svarīgos cenas riskus, īpaši ņemot vērā pozīcijas lielumu. Likviditātes periodi atspoguļo faktisko praksi un pieredzi gan sistemātiskās, gan arī individuāli atšķirīgās spriedzes situācijās. Likviditātes periodus mēra, pamatojoties uz piesardzīgiem pieņēmumiem, un tie ir pietiekami ilgi, lai pati pārdošanas vai riska ierobežošanas darbība būtiski neietekmētu pārdošanas vai riska ierobežošanas darījuma cenu.</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rPr>
          <w:rFonts w:ascii="Cambria" w:hAnsi="Cambria"/>
          <w:sz w:val="19"/>
          <w:szCs w:val="19"/>
          <w:lang w:val="lv-LV"/>
        </w:rPr>
      </w:pPr>
      <w:r w:rsidRPr="00640637">
        <w:rPr>
          <w:rFonts w:ascii="Cambria" w:hAnsi="Cambria"/>
          <w:sz w:val="19"/>
          <w:szCs w:val="19"/>
          <w:lang w:val="lv-LV"/>
        </w:rPr>
        <w:t>72. Pozīcijas vai pozīciju kopuma atbilstīgā likviditātes perioda minimums ir trīs mēneši.</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 xml:space="preserve">Atbilstības </w:t>
            </w:r>
            <w:r w:rsidRPr="00FE7D31">
              <w:rPr>
                <w:rFonts w:ascii="Cambria" w:hAnsi="Cambria"/>
                <w:sz w:val="19"/>
                <w:szCs w:val="19"/>
                <w:lang w:val="lv-LV"/>
              </w:rPr>
              <w:lastRenderedPageBreak/>
              <w:t>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lastRenderedPageBreak/>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 xml:space="preserve">Atsauce uz iestādes iekšējiem dokumentiem, norādot </w:t>
            </w:r>
            <w:r w:rsidRPr="00FE7D31">
              <w:rPr>
                <w:rFonts w:ascii="Cambria" w:hAnsi="Cambria"/>
                <w:sz w:val="19"/>
                <w:szCs w:val="19"/>
                <w:lang w:val="lv-LV"/>
              </w:rPr>
              <w:lastRenderedPageBreak/>
              <w:t>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 xml:space="preserve">73. </w:t>
      </w:r>
      <w:r w:rsidRPr="00640637">
        <w:rPr>
          <w:rFonts w:ascii="Cambria" w:eastAsia="Arial Unicode MS" w:hAnsi="Cambria"/>
          <w:sz w:val="19"/>
          <w:szCs w:val="19"/>
          <w:lang w:val="lv-LV"/>
        </w:rPr>
        <w:t xml:space="preserve">Nosakot atbilstīgos likviditātes periodus pozīcijai vai pozīciju kopumam, ņem vērā iestādes iekšējās politikas attiecībā uz vērtējuma korekcijām un inertu pozīciju pārvaldību. Ja iestāde likviditātes periodus nosaka nevis atsevišķām pozīcijām, bet pozīciju kopumiem, tad pozīciju kopuma definēšanas kritērijus nosaka tādā veidā, kas jēgpilni atspoguļo likviditātes atšķirības. Likviditātes periodi ir augstāki koncentrētām pozīcijām, kuras atspoguļo ilgāku laikposmu, kas nepieciešams, lai šīs pozīcijas likvidētu. </w:t>
      </w:r>
      <w:proofErr w:type="spellStart"/>
      <w:r w:rsidRPr="00640637">
        <w:rPr>
          <w:rFonts w:ascii="Cambria" w:eastAsia="Arial Unicode MS" w:hAnsi="Cambria"/>
          <w:sz w:val="19"/>
          <w:szCs w:val="19"/>
          <w:lang w:val="lv-LV"/>
        </w:rPr>
        <w:t>Vērtspapīrošanas</w:t>
      </w:r>
      <w:proofErr w:type="spellEnd"/>
      <w:r w:rsidRPr="00640637">
        <w:rPr>
          <w:rFonts w:ascii="Cambria" w:eastAsia="Arial Unicode MS" w:hAnsi="Cambria"/>
          <w:sz w:val="19"/>
          <w:szCs w:val="19"/>
          <w:lang w:val="lv-LV"/>
        </w:rPr>
        <w:t xml:space="preserve"> darījumu likviditātes periods atspoguļo laiku, kas nepieciešams, lai izveidotu, pārdotu un </w:t>
      </w:r>
      <w:proofErr w:type="spellStart"/>
      <w:r w:rsidRPr="00640637">
        <w:rPr>
          <w:rFonts w:ascii="Cambria" w:eastAsia="Arial Unicode MS" w:hAnsi="Cambria"/>
          <w:sz w:val="19"/>
          <w:szCs w:val="19"/>
          <w:lang w:val="lv-LV"/>
        </w:rPr>
        <w:t>vērtspapīrotu</w:t>
      </w:r>
      <w:proofErr w:type="spellEnd"/>
      <w:r w:rsidRPr="00640637">
        <w:rPr>
          <w:rFonts w:ascii="Cambria" w:eastAsia="Arial Unicode MS" w:hAnsi="Cambria"/>
          <w:sz w:val="19"/>
          <w:szCs w:val="19"/>
          <w:lang w:val="lv-LV"/>
        </w:rPr>
        <w:t xml:space="preserve"> aktīvus vai saspringtos tirgus apstākļos ierobežotu būtiskus riska faktorus.</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rPr>
          <w:rFonts w:ascii="Cambria" w:hAnsi="Cambria"/>
          <w:b/>
          <w:sz w:val="19"/>
          <w:szCs w:val="19"/>
          <w:lang w:val="lv-LV"/>
        </w:rPr>
      </w:pPr>
      <w:r w:rsidRPr="00640637">
        <w:rPr>
          <w:rFonts w:ascii="Cambria" w:hAnsi="Cambria"/>
          <w:b/>
          <w:sz w:val="19"/>
          <w:szCs w:val="19"/>
          <w:lang w:val="lv-LV"/>
        </w:rPr>
        <w:t>6.3. Riska ierobežošanas pozīciju atzīšana IRC iekšējā modelī</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eastAsia="Arial Unicode MS" w:hAnsi="Cambria"/>
          <w:sz w:val="19"/>
          <w:szCs w:val="19"/>
          <w:shd w:val="clear" w:color="auto" w:fill="FFFFFF"/>
          <w:lang w:val="lv-LV"/>
        </w:rPr>
      </w:pPr>
      <w:r w:rsidRPr="00640637">
        <w:rPr>
          <w:rFonts w:ascii="Cambria" w:hAnsi="Cambria"/>
          <w:sz w:val="19"/>
          <w:szCs w:val="19"/>
          <w:lang w:val="lv-LV"/>
        </w:rPr>
        <w:t>74. Iestāde r</w:t>
      </w:r>
      <w:r w:rsidRPr="00640637">
        <w:rPr>
          <w:rFonts w:ascii="Cambria" w:eastAsia="Arial Unicode MS" w:hAnsi="Cambria"/>
          <w:sz w:val="19"/>
          <w:szCs w:val="19"/>
          <w:shd w:val="clear" w:color="auto" w:fill="FFFFFF"/>
          <w:lang w:val="lv-LV"/>
        </w:rPr>
        <w:t>iska ierobežošanas pozīcijas var iekļaut iestādes iekšējā modelī, lai aptvertu inkrementālos saistību nepildīšanas un migrācijas riskus.</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75. Iekļaujot riska ierobežošanas pozīcijas IRC iekšējā modelī, pozīcijām var veikt savstarpējo ieskaitu, ja garās vai īsās pozīcijas attiecas uz vienu un to pašu finanšu instrumentu. Riska ierobežošanas vai diversifikācijas efektu, ko rada garās un īsās pozīcijas viena parādnieka dažādos instrumentos vai dažādos vērtspapīros, kā arī garās un īsās pozīcijas dažādos emitentos var atzīt, tikai skaidri modelējot bruto garās un īsās pozīcijas dažādos instrumentos.</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76. Iestāde atspoguļo visu būtisko risku, kas varētu rasties laika intervālā starp riska ierobežošanas pozīcijas termiņu un likviditātes periodu, ietekmi, kā arī būtisku bāzes risku potenciālu saistībā ar riska ierobežošanas stratēģijām pa produktu veidiem, pēc prioritātes kapitāla struktūrā, iekšējā vai ārējā novērtējuma, termiņa, emisijas datumiem un citām instrumentu atšķirībām.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77. Iestāde atspoguļo risku ierobežošanu tikai tādā mērā, kādā atbilstošais instruments parādniekam ir pieejams, pat tad, kad parādniekam ir nepieciešams saņemt kredītu, vai citos gadījumos.</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78. Pozīcijām, kurām risku ierobežo ar dinamiskās riska ierobežošanas stratēģijām, riska ierobežošanas pozīcijas atjaunošanu pozīcijas, kurai ierobežo risku, likviditātes periodā var atzīt, ja šī iestāde:</w:t>
      </w:r>
    </w:p>
    <w:p w:rsidR="00ED4C41" w:rsidRPr="00640637" w:rsidRDefault="00ED4C41" w:rsidP="00ED4C41">
      <w:pPr>
        <w:tabs>
          <w:tab w:val="left" w:pos="284"/>
        </w:tabs>
        <w:spacing w:before="130" w:line="260" w:lineRule="exact"/>
        <w:jc w:val="both"/>
        <w:rPr>
          <w:rFonts w:ascii="Cambria" w:hAnsi="Cambria"/>
          <w:sz w:val="19"/>
          <w:szCs w:val="19"/>
          <w:lang w:val="lv-LV"/>
        </w:rPr>
      </w:pPr>
      <w:r w:rsidRPr="00640637">
        <w:rPr>
          <w:rFonts w:ascii="Cambria" w:hAnsi="Cambria"/>
          <w:sz w:val="19"/>
          <w:szCs w:val="19"/>
          <w:lang w:val="lv-LV"/>
        </w:rPr>
        <w:t>a) izvēlas modelēt riska ierobežošanas pozīcijas atjaunošanu konsekventi visam attiecīgā tirdzniecības portfeļa pozīciju kopumam;</w:t>
      </w:r>
    </w:p>
    <w:p w:rsidR="00ED4C41" w:rsidRPr="00640637" w:rsidRDefault="00ED4C41" w:rsidP="00ED4C41">
      <w:pPr>
        <w:tabs>
          <w:tab w:val="left" w:pos="284"/>
        </w:tabs>
        <w:spacing w:before="130" w:line="260" w:lineRule="exact"/>
        <w:jc w:val="both"/>
        <w:rPr>
          <w:rFonts w:ascii="Cambria" w:hAnsi="Cambria"/>
          <w:sz w:val="19"/>
          <w:szCs w:val="19"/>
          <w:lang w:val="lv-LV"/>
        </w:rPr>
      </w:pPr>
      <w:r w:rsidRPr="00640637">
        <w:rPr>
          <w:rFonts w:ascii="Cambria" w:hAnsi="Cambria"/>
          <w:sz w:val="19"/>
          <w:szCs w:val="19"/>
          <w:lang w:val="lv-LV"/>
        </w:rPr>
        <w:t>b) parāda, ka atjaunošanas rezultātu iekļaušana nodrošina labāku riska mērīšanu;</w:t>
      </w:r>
    </w:p>
    <w:p w:rsidR="00ED4C41" w:rsidRPr="00640637" w:rsidRDefault="00ED4C41" w:rsidP="00ED4C41">
      <w:pPr>
        <w:tabs>
          <w:tab w:val="left" w:pos="284"/>
        </w:tabs>
        <w:spacing w:before="130" w:line="260" w:lineRule="exact"/>
        <w:jc w:val="both"/>
        <w:rPr>
          <w:rFonts w:ascii="Cambria" w:hAnsi="Cambria"/>
          <w:sz w:val="19"/>
          <w:szCs w:val="19"/>
          <w:lang w:val="lv-LV"/>
        </w:rPr>
      </w:pPr>
      <w:r w:rsidRPr="00640637">
        <w:rPr>
          <w:rFonts w:ascii="Cambria" w:hAnsi="Cambria"/>
          <w:sz w:val="19"/>
          <w:szCs w:val="19"/>
          <w:lang w:val="lv-LV"/>
        </w:rPr>
        <w:t>c) parāda, ka instrumentu, ko izmanto riska ierobežošanai, tirgi ir pietiekami likvīdi, lai šādu atjaunošanu spētu veikt arī spriedzes periodos. Visus pārējos riskus, ko rada dinamiskā nodrošinājuma stratēģija, atspoguļo kapitāla prasībās.</w:t>
      </w:r>
    </w:p>
    <w:p w:rsidR="00ED4C41" w:rsidRPr="00640637" w:rsidRDefault="00ED4C41" w:rsidP="00ED4C41">
      <w:pPr>
        <w:tabs>
          <w:tab w:val="left" w:pos="993"/>
        </w:tabs>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rPr>
          <w:rFonts w:ascii="Cambria" w:hAnsi="Cambria"/>
          <w:b/>
          <w:sz w:val="19"/>
          <w:szCs w:val="19"/>
          <w:lang w:val="lv-LV"/>
        </w:rPr>
      </w:pPr>
      <w:r w:rsidRPr="00640637">
        <w:rPr>
          <w:rFonts w:ascii="Cambria" w:hAnsi="Cambria"/>
          <w:b/>
          <w:sz w:val="19"/>
          <w:szCs w:val="19"/>
          <w:lang w:val="lv-LV"/>
        </w:rPr>
        <w:t>6.4. Īpašas prasības attiecībā uz IRC iekšējo modeli</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 xml:space="preserve">79. Iekšējais modelis, kurš ietver inkrementālos saistību nepildīšanas un migrācijas riskus, atspoguļo iespējas līgumu nelineāro ietekmi, strukturētos kredītu atvasinātos instrumentus un citas pozīcijas, kam raksturīga būtiska </w:t>
      </w:r>
      <w:proofErr w:type="spellStart"/>
      <w:r w:rsidRPr="00640637">
        <w:rPr>
          <w:rFonts w:ascii="Cambria" w:hAnsi="Cambria"/>
          <w:sz w:val="19"/>
          <w:szCs w:val="19"/>
          <w:lang w:val="lv-LV"/>
        </w:rPr>
        <w:t>nelinearitāte</w:t>
      </w:r>
      <w:proofErr w:type="spellEnd"/>
      <w:r w:rsidRPr="00640637">
        <w:rPr>
          <w:rFonts w:ascii="Cambria" w:hAnsi="Cambria"/>
          <w:sz w:val="19"/>
          <w:szCs w:val="19"/>
          <w:lang w:val="lv-LV"/>
        </w:rPr>
        <w:t xml:space="preserve"> saistībā ar cenu izmaiņām. Iestāde arī pienācīgi ņem vērā modeļa risku, kas raksturīgs cenas risku novērtējumam un aprēķināšanai attiecībā uz šādiem produktiem.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rPr>
          <w:rFonts w:ascii="Cambria"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80. Iekšējā modeļa pamatā ir objektīvi un atjaunināti dati.</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81. Saistībā ar neatkarīgo pārbaudi un savu iekšējo modeļu, ko izmanto šīs nodaļas vajadzībām, validāciju, tostarp riska mērīšanas sistēmas vajadzībām, iestāde jo īpaši:</w:t>
      </w:r>
    </w:p>
    <w:p w:rsidR="00ED4C41" w:rsidRPr="00640637" w:rsidRDefault="00ED4C41" w:rsidP="00ED4C41">
      <w:pPr>
        <w:tabs>
          <w:tab w:val="left" w:pos="426"/>
        </w:tabs>
        <w:spacing w:before="130" w:line="260" w:lineRule="exact"/>
        <w:jc w:val="both"/>
        <w:rPr>
          <w:rFonts w:ascii="Cambria" w:hAnsi="Cambria"/>
          <w:sz w:val="19"/>
          <w:szCs w:val="19"/>
          <w:lang w:val="lv-LV"/>
        </w:rPr>
      </w:pPr>
      <w:r w:rsidRPr="00640637">
        <w:rPr>
          <w:rFonts w:ascii="Cambria" w:hAnsi="Cambria"/>
          <w:sz w:val="19"/>
          <w:szCs w:val="19"/>
          <w:lang w:val="lv-LV"/>
        </w:rPr>
        <w:t>a) pārbauda, vai modelis, ko tā izmanto korelāciju un cenu izmaiņu gadījumos, atbilst tirdzniecības portfelim, kā arī sistēmisko riska faktoru izvēlei un svērumiem;</w:t>
      </w:r>
    </w:p>
    <w:p w:rsidR="00ED4C41" w:rsidRPr="00640637" w:rsidRDefault="00ED4C41" w:rsidP="00ED4C41">
      <w:pPr>
        <w:tabs>
          <w:tab w:val="left" w:pos="426"/>
        </w:tabs>
        <w:spacing w:before="130" w:line="260" w:lineRule="exact"/>
        <w:jc w:val="both"/>
        <w:rPr>
          <w:rFonts w:ascii="Cambria" w:hAnsi="Cambria"/>
          <w:sz w:val="19"/>
          <w:szCs w:val="19"/>
          <w:lang w:val="lv-LV"/>
        </w:rPr>
      </w:pPr>
      <w:r w:rsidRPr="00640637">
        <w:rPr>
          <w:rFonts w:ascii="Cambria" w:hAnsi="Cambria"/>
          <w:sz w:val="19"/>
          <w:szCs w:val="19"/>
          <w:lang w:val="lv-LV"/>
        </w:rPr>
        <w:t>b) veic dažādus spriedzes testus, tostarp jutīguma analīzi un scenāriju analīzi, lai kvalitatīvi un kvantitatīvi novērtētu iekšējā modeļa lietderību, īpaši attiecībā uz koncentrāciju; šādus testus attiecina ne tikai uz jau notikušiem gadījumiem;</w:t>
      </w:r>
    </w:p>
    <w:p w:rsidR="00ED4C41" w:rsidRPr="00640637" w:rsidRDefault="00ED4C41" w:rsidP="00ED4C41">
      <w:pPr>
        <w:tabs>
          <w:tab w:val="left" w:pos="426"/>
        </w:tabs>
        <w:spacing w:before="130" w:line="260" w:lineRule="exact"/>
        <w:jc w:val="both"/>
        <w:rPr>
          <w:rFonts w:ascii="Cambria" w:hAnsi="Cambria"/>
          <w:sz w:val="19"/>
          <w:szCs w:val="19"/>
          <w:lang w:val="lv-LV"/>
        </w:rPr>
      </w:pPr>
      <w:r w:rsidRPr="00640637">
        <w:rPr>
          <w:rFonts w:ascii="Cambria" w:hAnsi="Cambria"/>
          <w:sz w:val="19"/>
          <w:szCs w:val="19"/>
          <w:lang w:val="lv-LV"/>
        </w:rPr>
        <w:t>c) piemēro attiecīgu kvantitatīvo validāciju, iekļaujot arī atbilstošus iekšējās modelēšanas etalonus.</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82. Iekšējais modelis ir saskaņots ar iestādes iekšējām riska pārvaldības metodēm, ko lieto, lai identificētu, aprēķinātu un pārvaldītu tirdzniecības riskus.</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r w:rsidRPr="00640637">
        <w:rPr>
          <w:rFonts w:ascii="Cambria" w:hAnsi="Cambria"/>
          <w:sz w:val="19"/>
          <w:szCs w:val="19"/>
          <w:lang w:val="lv-LV"/>
        </w:rPr>
        <w:lastRenderedPageBreak/>
        <w:t>83. Iestāde dokumentē savus iekšējos modeļus, lai tās korelācijas un citi modelēšanas pieņēmumi būtu pārredzami kompetentajām iestādēm.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 xml:space="preserve">84. Iekšējais modelis piesardzīgi novērtē risku, kas rodas no mazāk likvīdām pozīcijām un pozīcijām ar ierobežotu cenu </w:t>
      </w:r>
      <w:proofErr w:type="spellStart"/>
      <w:r w:rsidRPr="00640637">
        <w:rPr>
          <w:rFonts w:ascii="Cambria" w:hAnsi="Cambria"/>
          <w:sz w:val="19"/>
          <w:szCs w:val="19"/>
          <w:lang w:val="lv-LV"/>
        </w:rPr>
        <w:t>pārredzamību</w:t>
      </w:r>
      <w:proofErr w:type="spellEnd"/>
      <w:r w:rsidRPr="00640637">
        <w:rPr>
          <w:rFonts w:ascii="Cambria" w:hAnsi="Cambria"/>
          <w:sz w:val="19"/>
          <w:szCs w:val="19"/>
          <w:lang w:val="lv-LV"/>
        </w:rPr>
        <w:t xml:space="preserve">, balstoties uz reālistiskiem tirgus scenārijiem. Turklāt iekšējais modelis atbilst obligātajiem datu standartiem. </w:t>
      </w:r>
      <w:proofErr w:type="spellStart"/>
      <w:r w:rsidRPr="00640637">
        <w:rPr>
          <w:rFonts w:ascii="Cambria" w:hAnsi="Cambria"/>
          <w:sz w:val="19"/>
          <w:szCs w:val="19"/>
          <w:lang w:val="lv-LV"/>
        </w:rPr>
        <w:t>Aizstājējvērtības</w:t>
      </w:r>
      <w:proofErr w:type="spellEnd"/>
      <w:r w:rsidRPr="00640637">
        <w:rPr>
          <w:rFonts w:ascii="Cambria" w:hAnsi="Cambria"/>
          <w:sz w:val="19"/>
          <w:szCs w:val="19"/>
          <w:lang w:val="lv-LV"/>
        </w:rPr>
        <w:t xml:space="preserve"> ir pietiekami konservatīvas, un tās var izmantot tikai tur, kur pieejamie dati ir nepietiekami vai neatspoguļo pozīcijas vai portfeļa patieso svārstīgumu.</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pStyle w:val="BodyText"/>
        <w:spacing w:before="130" w:line="260" w:lineRule="exact"/>
        <w:jc w:val="both"/>
        <w:rPr>
          <w:rFonts w:ascii="Cambria" w:hAnsi="Cambria"/>
          <w:sz w:val="19"/>
          <w:szCs w:val="19"/>
        </w:rPr>
      </w:pPr>
      <w:r w:rsidRPr="00640637">
        <w:rPr>
          <w:rFonts w:ascii="Cambria" w:hAnsi="Cambria"/>
          <w:sz w:val="19"/>
          <w:szCs w:val="19"/>
        </w:rPr>
        <w:t xml:space="preserve">7. </w:t>
      </w:r>
      <w:proofErr w:type="spellStart"/>
      <w:r w:rsidRPr="00640637">
        <w:rPr>
          <w:rFonts w:ascii="Cambria" w:hAnsi="Cambria"/>
          <w:sz w:val="19"/>
          <w:szCs w:val="19"/>
        </w:rPr>
        <w:t>Korelācijas</w:t>
      </w:r>
      <w:proofErr w:type="spellEnd"/>
      <w:r w:rsidRPr="00640637">
        <w:rPr>
          <w:rFonts w:ascii="Cambria" w:hAnsi="Cambria"/>
          <w:sz w:val="19"/>
          <w:szCs w:val="19"/>
        </w:rPr>
        <w:t xml:space="preserve"> </w:t>
      </w:r>
      <w:proofErr w:type="spellStart"/>
      <w:r w:rsidRPr="00640637">
        <w:rPr>
          <w:rFonts w:ascii="Cambria" w:hAnsi="Cambria"/>
          <w:sz w:val="19"/>
          <w:szCs w:val="19"/>
        </w:rPr>
        <w:t>tirdzniecības</w:t>
      </w:r>
      <w:proofErr w:type="spellEnd"/>
      <w:r w:rsidRPr="00640637">
        <w:rPr>
          <w:rFonts w:ascii="Cambria" w:hAnsi="Cambria"/>
          <w:sz w:val="19"/>
          <w:szCs w:val="19"/>
        </w:rPr>
        <w:t xml:space="preserve"> </w:t>
      </w:r>
      <w:proofErr w:type="spellStart"/>
      <w:r w:rsidRPr="00640637">
        <w:rPr>
          <w:rFonts w:ascii="Cambria" w:hAnsi="Cambria"/>
          <w:sz w:val="19"/>
          <w:szCs w:val="19"/>
        </w:rPr>
        <w:t>iekšējais</w:t>
      </w:r>
      <w:proofErr w:type="spellEnd"/>
      <w:r w:rsidRPr="00640637">
        <w:rPr>
          <w:rFonts w:ascii="Cambria" w:hAnsi="Cambria"/>
          <w:sz w:val="19"/>
          <w:szCs w:val="19"/>
        </w:rPr>
        <w:t xml:space="preserve"> </w:t>
      </w:r>
      <w:proofErr w:type="spellStart"/>
      <w:r w:rsidRPr="00640637">
        <w:rPr>
          <w:rFonts w:ascii="Cambria" w:hAnsi="Cambria"/>
          <w:sz w:val="19"/>
          <w:szCs w:val="19"/>
        </w:rPr>
        <w:t>modelis</w:t>
      </w:r>
      <w:proofErr w:type="spellEnd"/>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jc w:val="both"/>
        <w:rPr>
          <w:rFonts w:ascii="Cambria" w:eastAsia="Arial Unicode MS" w:hAnsi="Cambria"/>
          <w:sz w:val="19"/>
          <w:szCs w:val="19"/>
          <w:lang w:val="lv-LV"/>
        </w:rPr>
      </w:pPr>
      <w:r w:rsidRPr="00640637">
        <w:rPr>
          <w:rFonts w:ascii="Cambria" w:hAnsi="Cambria"/>
          <w:sz w:val="19"/>
          <w:szCs w:val="19"/>
          <w:lang w:val="lv-LV"/>
        </w:rPr>
        <w:t xml:space="preserve">85. </w:t>
      </w:r>
      <w:r w:rsidRPr="00640637">
        <w:rPr>
          <w:rFonts w:ascii="Cambria" w:eastAsia="Arial Unicode MS" w:hAnsi="Cambria"/>
          <w:sz w:val="19"/>
          <w:szCs w:val="19"/>
          <w:lang w:val="lv-LV"/>
        </w:rPr>
        <w:t>Iestādēm ir atļauts izmantot iekšējo modeli attiecībā uz parāda instrumentu specifisko risku, un iekšējais modelis atbilst ES Regulas Nr. 575/2013 367. panta 1. un 3. punkta, 368. panta, 369. panta 1. punkta un 370. panta a), b), c), e) un f) apakšpunkta prasībām.</w:t>
      </w:r>
    </w:p>
    <w:p w:rsidR="00ED4C41" w:rsidRPr="00640637" w:rsidRDefault="00ED4C41" w:rsidP="00ED4C41">
      <w:pPr>
        <w:spacing w:before="130" w:line="260" w:lineRule="exact"/>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lastRenderedPageBreak/>
        <w:t>86. Iestāde šo iekšējo modeli izmanto, lai aprēķinātu skaitli, kas pienācīgi raksturo visus cenas riskus ar 99.9% ticamības intervālu viena gada laikposmā, pieņemot nemainīgu riska līmeni un vajadzības gadījumā veicot korekcijas, lai atspoguļotu likviditātes, koncentrācijas, riska ierobežošanas un izvēles iespēju ietekmi. Iestāde šo aprēķinu veic vismaz reizi nedēļā.</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87. Korelācijas tirdzniecības iekšējais modelis pienācīgi ietver kumulatīvo risku, kas veidojas vairāku saistību neizpildes gadījumu dēļ, tostarp secīgu saistību neizpildes gadījumu laidienos, sadalītajos produktos.</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spacing w:before="130" w:line="260" w:lineRule="exact"/>
        <w:rPr>
          <w:rFonts w:ascii="Cambria" w:hAnsi="Cambria"/>
          <w:sz w:val="19"/>
          <w:szCs w:val="19"/>
          <w:lang w:val="lv-LV"/>
        </w:rPr>
      </w:pPr>
      <w:r w:rsidRPr="00640637">
        <w:rPr>
          <w:rFonts w:ascii="Cambria" w:hAnsi="Cambria"/>
          <w:sz w:val="19"/>
          <w:szCs w:val="19"/>
          <w:lang w:val="lv-LV"/>
        </w:rPr>
        <w:t xml:space="preserve">88. Korelācijas tirdzniecības iekšējais modelis pienācīgi ietver kredītriska starpības risku, tostarp gamma un </w:t>
      </w:r>
      <w:proofErr w:type="spellStart"/>
      <w:r w:rsidRPr="00640637">
        <w:rPr>
          <w:rStyle w:val="italic1"/>
          <w:rFonts w:ascii="Cambria" w:hAnsi="Cambria"/>
          <w:sz w:val="19"/>
          <w:szCs w:val="19"/>
          <w:lang w:val="lv-LV"/>
        </w:rPr>
        <w:t>cross-gamma</w:t>
      </w:r>
      <w:proofErr w:type="spellEnd"/>
      <w:r w:rsidRPr="00640637">
        <w:rPr>
          <w:rFonts w:ascii="Cambria" w:hAnsi="Cambria"/>
          <w:sz w:val="19"/>
          <w:szCs w:val="19"/>
          <w:lang w:val="lv-LV"/>
        </w:rPr>
        <w:t xml:space="preserve"> faktoru ietekmi.</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rPr>
          <w:rFonts w:ascii="Cambria"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89. Korelācijas tirdzniecības iekšējais modelis pienācīgi ietver piemītošo korelāciju svārstīgumu, tostarp kredītriska starpību un korelāciju savstarpējo ietekmi.</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rPr>
          <w:rFonts w:ascii="Cambria" w:hAnsi="Cambria"/>
          <w:sz w:val="19"/>
          <w:szCs w:val="19"/>
          <w:lang w:val="lv-LV"/>
        </w:rPr>
      </w:pPr>
      <w:r w:rsidRPr="00640637">
        <w:rPr>
          <w:rFonts w:ascii="Cambria" w:hAnsi="Cambria"/>
          <w:sz w:val="19"/>
          <w:szCs w:val="19"/>
          <w:lang w:val="lv-LV"/>
        </w:rPr>
        <w:t>90. Korelācijas tirdzniecības iekšējais modelis pienācīgi ietver bāzes risku, kas sastāv no:</w:t>
      </w:r>
    </w:p>
    <w:p w:rsidR="00ED4C41" w:rsidRPr="00640637" w:rsidRDefault="00ED4C41" w:rsidP="00ED4C41">
      <w:pPr>
        <w:tabs>
          <w:tab w:val="left" w:pos="426"/>
        </w:tabs>
        <w:spacing w:before="130" w:line="260" w:lineRule="exact"/>
        <w:rPr>
          <w:rFonts w:ascii="Cambria" w:hAnsi="Cambria"/>
          <w:sz w:val="19"/>
          <w:szCs w:val="19"/>
          <w:lang w:val="lv-LV"/>
        </w:rPr>
      </w:pPr>
      <w:r w:rsidRPr="00640637">
        <w:rPr>
          <w:rFonts w:ascii="Cambria" w:hAnsi="Cambria"/>
          <w:sz w:val="19"/>
          <w:szCs w:val="19"/>
          <w:lang w:val="lv-LV"/>
        </w:rPr>
        <w:t>a) indeksa likmju starpības un tajā ietilpstošo atsevišķo parādnieku starpības bāzes;</w:t>
      </w:r>
    </w:p>
    <w:p w:rsidR="00ED4C41" w:rsidRPr="00640637" w:rsidRDefault="00ED4C41" w:rsidP="00ED4C41">
      <w:pPr>
        <w:tabs>
          <w:tab w:val="left" w:pos="426"/>
        </w:tabs>
        <w:spacing w:before="130" w:line="260" w:lineRule="exact"/>
        <w:rPr>
          <w:rFonts w:ascii="Cambria" w:hAnsi="Cambria"/>
          <w:sz w:val="19"/>
          <w:szCs w:val="19"/>
          <w:lang w:val="lv-LV"/>
        </w:rPr>
      </w:pPr>
      <w:r w:rsidRPr="00640637">
        <w:rPr>
          <w:rFonts w:ascii="Cambria" w:hAnsi="Cambria"/>
          <w:sz w:val="19"/>
          <w:szCs w:val="19"/>
          <w:lang w:val="lv-LV"/>
        </w:rPr>
        <w:t>b) atšķirības indeksa un atbilstoši indeksa struktūrai izveidotā portfeļa korelācijā.</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spacing w:before="130" w:line="260" w:lineRule="exact"/>
        <w:rPr>
          <w:rFonts w:ascii="Cambria" w:hAnsi="Cambria"/>
          <w:sz w:val="19"/>
          <w:szCs w:val="19"/>
          <w:lang w:val="lv-LV"/>
        </w:rPr>
      </w:pPr>
      <w:r w:rsidRPr="00640637">
        <w:rPr>
          <w:rFonts w:ascii="Cambria" w:hAnsi="Cambria"/>
          <w:sz w:val="19"/>
          <w:szCs w:val="19"/>
          <w:lang w:val="lv-LV"/>
        </w:rPr>
        <w:t>91. Korelācijas tirdzniecības iekšējais modelis pienācīgi ietver atgūšanas likmes svārstīgumu, jo tas ir saistīts ar atgūšanas likmju tendenci ietekmēt laidiena cenas.</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lastRenderedPageBreak/>
        <w:t>92. Korelācijas tirdzniecības iekšējais modelis pienācīgi ietver, ciktāl visaptveroši riska mēri ietver ieguvumus no dinamiskās riska ierobežošanas stratēģijas, riska ierobežošanas pozīcijas novirzes risku un iespējamās izmaksas, lai atkal atjaunotu šādas riska ierobežošanas pozīcijas.</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rPr>
          <w:rFonts w:ascii="Cambria" w:hAnsi="Cambria"/>
          <w:sz w:val="19"/>
          <w:szCs w:val="19"/>
          <w:lang w:val="lv-LV"/>
        </w:rPr>
      </w:pPr>
      <w:r w:rsidRPr="00640637">
        <w:rPr>
          <w:rFonts w:ascii="Cambria" w:hAnsi="Cambria"/>
          <w:sz w:val="19"/>
          <w:szCs w:val="19"/>
          <w:lang w:val="lv-LV"/>
        </w:rPr>
        <w:t>93. Korelācijas tirdzniecības iekšējais modelis pienācīgi ietver jebkādus citus būtiskus pozīciju cenu riskus korelācijas tirdzniecības portfelī.</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94. Korelācijas tirdzniecības iekšējā modelī tiek izmantoti pietiekami tirgus dati, lai nodrošinātu, ka iestāde savā iekšējā pieejā pilnībā ietver šo riska darījumu būtiskākos riskus atbilstoši ES Regulas Nr. 575/2013 377. pantā noteiktajām prasībām.</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spacing w:before="130" w:line="260" w:lineRule="exact"/>
        <w:jc w:val="both"/>
        <w:rPr>
          <w:rFonts w:ascii="Cambria" w:hAnsi="Cambria"/>
          <w:sz w:val="19"/>
          <w:szCs w:val="19"/>
          <w:lang w:val="lv-LV"/>
        </w:rPr>
      </w:pPr>
      <w:r>
        <w:rPr>
          <w:rFonts w:ascii="Cambria" w:hAnsi="Cambria"/>
          <w:sz w:val="19"/>
          <w:szCs w:val="19"/>
          <w:lang w:val="lv-LV"/>
        </w:rPr>
        <w:br w:type="page"/>
      </w:r>
      <w:r w:rsidRPr="00640637">
        <w:rPr>
          <w:rFonts w:ascii="Cambria" w:hAnsi="Cambria"/>
          <w:sz w:val="19"/>
          <w:szCs w:val="19"/>
          <w:lang w:val="lv-LV"/>
        </w:rPr>
        <w:lastRenderedPageBreak/>
        <w:t>95. Ar atpakaļejošu pārbaudi vai citiem piemērotiem līdzekļiem ir pierādīts, ka iekšējais modelis var atbilstīgi izskaidrot šo produktu vēsturiskās cenu izmaiņas.</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spacing w:before="130" w:line="260" w:lineRule="exact"/>
        <w:rPr>
          <w:rFonts w:ascii="Cambria" w:hAnsi="Cambria"/>
          <w:sz w:val="19"/>
          <w:szCs w:val="19"/>
          <w:lang w:val="lv-LV"/>
        </w:rPr>
      </w:pPr>
    </w:p>
    <w:p w:rsidR="00ED4C41" w:rsidRPr="00640637" w:rsidRDefault="00ED4C41" w:rsidP="00ED4C41">
      <w:pPr>
        <w:spacing w:before="130" w:line="260" w:lineRule="exact"/>
        <w:rPr>
          <w:rFonts w:ascii="Cambria" w:hAnsi="Cambria"/>
          <w:sz w:val="19"/>
          <w:szCs w:val="19"/>
          <w:lang w:val="lv-LV"/>
        </w:rPr>
      </w:pPr>
      <w:r w:rsidRPr="00640637">
        <w:rPr>
          <w:rFonts w:ascii="Cambria" w:hAnsi="Cambria"/>
          <w:sz w:val="19"/>
          <w:szCs w:val="19"/>
          <w:lang w:val="lv-LV"/>
        </w:rPr>
        <w:t>96. Iestādei ir atbilstoša politika un procedūras, lai nošķirtu pozīcijas, attiecībā uz kurām ir saņemta atļauja izmantot iekšējo modeli pašu kapitāla prasību aprēķinam, no citām pozīcijām, attiecībā uz kurām tā nav saņēmusi šādu atļauju.</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spacing w:before="130" w:line="260" w:lineRule="exact"/>
        <w:jc w:val="both"/>
        <w:rPr>
          <w:rFonts w:ascii="Cambria" w:eastAsia="Arial Unicode MS" w:hAnsi="Cambria"/>
          <w:sz w:val="19"/>
          <w:szCs w:val="19"/>
          <w:lang w:val="lv-LV"/>
        </w:rPr>
      </w:pPr>
      <w:r w:rsidRPr="00640637">
        <w:rPr>
          <w:rFonts w:ascii="Cambria" w:hAnsi="Cambria"/>
          <w:sz w:val="19"/>
          <w:szCs w:val="19"/>
          <w:lang w:val="lv-LV"/>
        </w:rPr>
        <w:t xml:space="preserve">97. Attiecībā uz visu pozīciju, kas ietvertas iekšējā modelī, portfeli, kas minēts ES Regulas Nr. 575/2013 377. panta 1. punktā, iestāde regulāri piemēro īpašu, iepriekš noteiktu spriedzes scenāriju kopumu. Ar šiem spriedzes scenārijiem pārbauda spriedzes ietekmi uz saistību nepildīšanas rādītājiem, atgūšanas rādītājiem, kredītriska starpībām, bāzes risku, </w:t>
      </w:r>
      <w:proofErr w:type="spellStart"/>
      <w:r w:rsidRPr="00640637">
        <w:rPr>
          <w:rFonts w:ascii="Cambria" w:hAnsi="Cambria"/>
          <w:sz w:val="19"/>
          <w:szCs w:val="19"/>
          <w:lang w:val="lv-LV"/>
        </w:rPr>
        <w:t>korelācijām</w:t>
      </w:r>
      <w:proofErr w:type="spellEnd"/>
      <w:r w:rsidRPr="00640637">
        <w:rPr>
          <w:rFonts w:ascii="Cambria" w:hAnsi="Cambria"/>
          <w:sz w:val="19"/>
          <w:szCs w:val="19"/>
          <w:lang w:val="lv-LV"/>
        </w:rPr>
        <w:t xml:space="preserve"> un citiem attiecīgajiem riska faktoriem korelācijas tirdzniecības portfelī. Iestāde piemēro šos spriedzes scenārijus vismaz reizi nedēļā un vismaz reizi ceturksnī paziņo kompetentajām iestādēm rezultātus, tostarp salīdzinājumus ar iestādes pašu kapitāla prasībām, kas tiek iegūtas, izmantojot iekšējo modeli. </w:t>
      </w:r>
      <w:r w:rsidRPr="00640637">
        <w:rPr>
          <w:rFonts w:ascii="Cambria" w:eastAsia="Arial Unicode MS" w:hAnsi="Cambria"/>
          <w:sz w:val="19"/>
          <w:szCs w:val="19"/>
          <w:lang w:val="lv-LV"/>
        </w:rPr>
        <w:t>Par ikvienu gadījumu, kad spriedzes testu rezultāti būtiski pārsniedz pašu kapitāla prasību korelācijas tirdzniecības portfelim, iestāde laikus ziņo kompetentajām iestādēm.</w:t>
      </w:r>
    </w:p>
    <w:p w:rsidR="00ED4C41" w:rsidRPr="00640637" w:rsidRDefault="00ED4C41" w:rsidP="00ED4C41">
      <w:pPr>
        <w:spacing w:before="130" w:line="260" w:lineRule="exact"/>
        <w:jc w:val="both"/>
        <w:rPr>
          <w:rFonts w:ascii="Cambria" w:hAnsi="Cambria"/>
          <w:sz w:val="19"/>
          <w:szCs w:val="19"/>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9"/>
          <w:szCs w:val="19"/>
          <w:lang w:val="lv-LV"/>
        </w:rPr>
        <w:t xml:space="preserve">98. Iekšējais modelis piesardzīgi novērtē risku, kas rodas no mazāk likvīdām pozīcijām un pozīcijām ar ierobežotu cenu </w:t>
      </w:r>
      <w:proofErr w:type="spellStart"/>
      <w:r w:rsidRPr="00640637">
        <w:rPr>
          <w:rFonts w:ascii="Cambria" w:hAnsi="Cambria"/>
          <w:sz w:val="19"/>
          <w:szCs w:val="19"/>
          <w:lang w:val="lv-LV"/>
        </w:rPr>
        <w:t>pārredzamību</w:t>
      </w:r>
      <w:proofErr w:type="spellEnd"/>
      <w:r w:rsidRPr="00640637">
        <w:rPr>
          <w:rFonts w:ascii="Cambria" w:hAnsi="Cambria"/>
          <w:sz w:val="19"/>
          <w:szCs w:val="19"/>
          <w:lang w:val="lv-LV"/>
        </w:rPr>
        <w:t xml:space="preserve">, balsoties uz reālistiskiem tirgus scenārijiem. Turklāt iekšējais modelis atbilst obligātajiem datu standartiem. </w:t>
      </w:r>
      <w:proofErr w:type="spellStart"/>
      <w:r w:rsidRPr="00640637">
        <w:rPr>
          <w:rFonts w:ascii="Cambria" w:hAnsi="Cambria"/>
          <w:sz w:val="19"/>
          <w:szCs w:val="19"/>
          <w:lang w:val="lv-LV"/>
        </w:rPr>
        <w:t>Aizstājējvērtības</w:t>
      </w:r>
      <w:proofErr w:type="spellEnd"/>
      <w:r w:rsidRPr="00640637">
        <w:rPr>
          <w:rFonts w:ascii="Cambria" w:hAnsi="Cambria"/>
          <w:sz w:val="19"/>
          <w:szCs w:val="19"/>
          <w:lang w:val="lv-LV"/>
        </w:rPr>
        <w:t xml:space="preserve"> ir pietiekami konservatīvas, un tās var izmantot tikai tad, ja pieejamie dati ir nepietiekami vai neatspoguļo pozīcijas vai portfeļa patieso svārstīgumu.</w:t>
      </w:r>
    </w:p>
    <w:p w:rsidR="00ED4C41" w:rsidRPr="00640637" w:rsidRDefault="00ED4C41" w:rsidP="00ED4C41">
      <w:pPr>
        <w:pStyle w:val="BodyText"/>
        <w:spacing w:before="130" w:line="260" w:lineRule="exact"/>
        <w:jc w:val="both"/>
        <w:rPr>
          <w:rFonts w:ascii="Cambria" w:hAnsi="Cambria"/>
          <w:b w:val="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54"/>
        <w:gridCol w:w="7298"/>
        <w:gridCol w:w="4762"/>
      </w:tblGrid>
      <w:tr w:rsidR="00ED4C41" w:rsidRPr="00FE7D31" w:rsidTr="00F1293D">
        <w:tc>
          <w:tcPr>
            <w:tcW w:w="697"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Atbilstības izvērtējums*</w:t>
            </w:r>
          </w:p>
        </w:tc>
        <w:tc>
          <w:tcPr>
            <w:tcW w:w="2604" w:type="pct"/>
            <w:tcBorders>
              <w:top w:val="single" w:sz="8" w:space="0" w:color="auto"/>
              <w:bottom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Vērtējuma pamatojums</w:t>
            </w:r>
          </w:p>
        </w:tc>
        <w:tc>
          <w:tcPr>
            <w:tcW w:w="1699" w:type="pct"/>
            <w:tcBorders>
              <w:top w:val="single" w:sz="8" w:space="0" w:color="auto"/>
              <w:bottom w:val="single" w:sz="8" w:space="0" w:color="auto"/>
              <w:right w:val="single" w:sz="8" w:space="0" w:color="auto"/>
            </w:tcBorders>
            <w:vAlign w:val="center"/>
          </w:tcPr>
          <w:p w:rsidR="00ED4C41" w:rsidRPr="00FE7D31" w:rsidRDefault="00ED4C41" w:rsidP="00F1293D">
            <w:pPr>
              <w:jc w:val="center"/>
              <w:rPr>
                <w:rFonts w:ascii="Cambria" w:hAnsi="Cambria"/>
                <w:sz w:val="19"/>
                <w:szCs w:val="19"/>
                <w:lang w:val="lv-LV"/>
              </w:rPr>
            </w:pPr>
            <w:r w:rsidRPr="00FE7D31">
              <w:rPr>
                <w:rFonts w:ascii="Cambria" w:hAnsi="Cambria"/>
                <w:sz w:val="19"/>
                <w:szCs w:val="19"/>
                <w:lang w:val="lv-LV"/>
              </w:rPr>
              <w:t>Atsauce uz iestādes iekšējiem dokumentiem, norādot atbilstošo punktu</w:t>
            </w:r>
          </w:p>
        </w:tc>
      </w:tr>
      <w:tr w:rsidR="00ED4C41" w:rsidRPr="00FE7D31" w:rsidTr="00F1293D">
        <w:tc>
          <w:tcPr>
            <w:tcW w:w="697"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2604" w:type="pct"/>
            <w:tcBorders>
              <w:bottom w:val="single" w:sz="8" w:space="0" w:color="auto"/>
            </w:tcBorders>
            <w:vAlign w:val="center"/>
          </w:tcPr>
          <w:p w:rsidR="00ED4C41" w:rsidRPr="00FE7D31" w:rsidRDefault="00ED4C41" w:rsidP="00F1293D">
            <w:pPr>
              <w:rPr>
                <w:rFonts w:ascii="Cambria" w:hAnsi="Cambria"/>
                <w:sz w:val="19"/>
                <w:szCs w:val="19"/>
                <w:lang w:val="lv-LV"/>
              </w:rPr>
            </w:pPr>
          </w:p>
        </w:tc>
        <w:tc>
          <w:tcPr>
            <w:tcW w:w="1699" w:type="pct"/>
            <w:tcBorders>
              <w:bottom w:val="single" w:sz="8" w:space="0" w:color="auto"/>
              <w:right w:val="single" w:sz="8" w:space="0" w:color="auto"/>
            </w:tcBorders>
            <w:vAlign w:val="center"/>
          </w:tcPr>
          <w:p w:rsidR="00ED4C41" w:rsidRPr="00FE7D31" w:rsidRDefault="00ED4C41" w:rsidP="00F1293D">
            <w:pPr>
              <w:rPr>
                <w:rFonts w:ascii="Cambria" w:hAnsi="Cambria"/>
                <w:sz w:val="19"/>
                <w:szCs w:val="19"/>
                <w:lang w:val="lv-LV"/>
              </w:rPr>
            </w:pPr>
          </w:p>
        </w:tc>
      </w:tr>
    </w:tbl>
    <w:p w:rsidR="00ED4C41" w:rsidRPr="00640637" w:rsidRDefault="00ED4C41" w:rsidP="00ED4C41">
      <w:pPr>
        <w:spacing w:before="130" w:line="260" w:lineRule="exact"/>
        <w:jc w:val="both"/>
        <w:rPr>
          <w:rFonts w:ascii="Cambria" w:hAnsi="Cambria"/>
          <w:sz w:val="19"/>
          <w:szCs w:val="19"/>
          <w:lang w:val="lv-LV"/>
        </w:rPr>
      </w:pPr>
      <w:r w:rsidRPr="00640637">
        <w:rPr>
          <w:rFonts w:ascii="Cambria" w:hAnsi="Cambria"/>
          <w:sz w:val="17"/>
          <w:szCs w:val="19"/>
          <w:lang w:val="lv-LV"/>
        </w:rPr>
        <w:t>* Atbilst, neatbilst, daļēji atbilst, nav piemērojams. Iestāde izvērtē un pamato (aprakstot) atbilstību kritērijam, pamatojoties uz iekšējiem dokumentiem – politikām, procedūrām, pārskatiem u.c.</w:t>
      </w:r>
    </w:p>
    <w:p w:rsidR="00ED4C41" w:rsidRPr="00640637" w:rsidRDefault="00ED4C41" w:rsidP="00ED4C41">
      <w:pPr>
        <w:pStyle w:val="BodyText"/>
        <w:spacing w:before="130" w:line="260" w:lineRule="exact"/>
        <w:jc w:val="both"/>
        <w:rPr>
          <w:rFonts w:ascii="Cambria" w:hAnsi="Cambria"/>
          <w:b w:val="0"/>
          <w:sz w:val="19"/>
          <w:szCs w:val="19"/>
        </w:rPr>
      </w:pPr>
    </w:p>
    <w:p w:rsidR="001536CC" w:rsidRDefault="001536CC">
      <w:bookmarkStart w:id="0" w:name="_GoBack"/>
      <w:bookmarkEnd w:id="0"/>
    </w:p>
    <w:sectPr w:rsidR="001536CC" w:rsidSect="00ED4C4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eutonica">
    <w:altName w:val="Times New Roman"/>
    <w:panose1 w:val="00000000000000000000"/>
    <w:charset w:val="00"/>
    <w:family w:val="roman"/>
    <w:notTrueType/>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F2C"/>
    <w:multiLevelType w:val="multilevel"/>
    <w:tmpl w:val="8FC88E8E"/>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67E76476"/>
    <w:multiLevelType w:val="hybridMultilevel"/>
    <w:tmpl w:val="60BC75E2"/>
    <w:lvl w:ilvl="0" w:tplc="04090011">
      <w:start w:val="1"/>
      <w:numFmt w:val="decimal"/>
      <w:pStyle w:val="Tiret0"/>
      <w:lvlText w:val="%1)"/>
      <w:lvlJc w:val="left"/>
      <w:pPr>
        <w:tabs>
          <w:tab w:val="num" w:pos="720"/>
        </w:tabs>
        <w:ind w:left="720" w:hanging="360"/>
      </w:pPr>
      <w:rPr>
        <w:rFonts w:hint="default"/>
      </w:rPr>
    </w:lvl>
    <w:lvl w:ilvl="1" w:tplc="C9C06A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1"/>
    <w:rsid w:val="001536CC"/>
    <w:rsid w:val="00ED4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41"/>
    <w:pPr>
      <w:spacing w:after="0" w:line="240" w:lineRule="auto"/>
    </w:pPr>
    <w:rPr>
      <w:rFonts w:ascii="Times New Roman" w:eastAsia="Times New Roman" w:hAnsi="Times New Roman" w:cs="Times New Roman"/>
      <w:sz w:val="24"/>
      <w:szCs w:val="24"/>
    </w:rPr>
  </w:style>
  <w:style w:type="paragraph" w:styleId="Heading1">
    <w:name w:val="heading 1"/>
    <w:basedOn w:val="Normal"/>
    <w:next w:val="Text1"/>
    <w:link w:val="Heading1Char"/>
    <w:qFormat/>
    <w:rsid w:val="00ED4C41"/>
    <w:pPr>
      <w:keepNext/>
      <w:tabs>
        <w:tab w:val="num" w:pos="850"/>
      </w:tabs>
      <w:spacing w:before="360" w:after="120"/>
      <w:ind w:left="850" w:hanging="850"/>
      <w:jc w:val="both"/>
      <w:outlineLvl w:val="0"/>
    </w:pPr>
    <w:rPr>
      <w:b/>
      <w:smallCaps/>
      <w:szCs w:val="20"/>
      <w:lang w:eastAsia="zh-CN"/>
    </w:rPr>
  </w:style>
  <w:style w:type="paragraph" w:styleId="Heading2">
    <w:name w:val="heading 2"/>
    <w:basedOn w:val="Normal"/>
    <w:next w:val="Normal"/>
    <w:link w:val="Heading2Char"/>
    <w:qFormat/>
    <w:rsid w:val="00ED4C41"/>
    <w:pPr>
      <w:keepNext/>
      <w:tabs>
        <w:tab w:val="num" w:pos="850"/>
      </w:tabs>
      <w:spacing w:before="120" w:after="120"/>
      <w:ind w:left="850" w:hanging="850"/>
      <w:jc w:val="both"/>
      <w:outlineLvl w:val="1"/>
    </w:pPr>
    <w:rPr>
      <w:b/>
      <w:szCs w:val="20"/>
      <w:lang w:eastAsia="zh-CN"/>
    </w:rPr>
  </w:style>
  <w:style w:type="paragraph" w:styleId="Heading3">
    <w:name w:val="heading 3"/>
    <w:basedOn w:val="Normal"/>
    <w:next w:val="Normal"/>
    <w:link w:val="Heading3Char"/>
    <w:unhideWhenUsed/>
    <w:qFormat/>
    <w:rsid w:val="00ED4C41"/>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D4C4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D4C41"/>
    <w:pPr>
      <w:keepNext/>
      <w:outlineLvl w:val="4"/>
    </w:pPr>
    <w:rPr>
      <w:b/>
      <w:bCs/>
      <w:lang w:val="lv-LV"/>
    </w:rPr>
  </w:style>
  <w:style w:type="paragraph" w:styleId="Heading6">
    <w:name w:val="heading 6"/>
    <w:basedOn w:val="Normal"/>
    <w:next w:val="Normal"/>
    <w:link w:val="Heading6Char"/>
    <w:qFormat/>
    <w:rsid w:val="00ED4C41"/>
    <w:pPr>
      <w:keepNext/>
      <w:jc w:val="center"/>
      <w:outlineLvl w:val="5"/>
    </w:pPr>
    <w:rPr>
      <w:b/>
      <w:bCs/>
      <w:lang w:val="lv-LV"/>
    </w:rPr>
  </w:style>
  <w:style w:type="paragraph" w:styleId="Heading8">
    <w:name w:val="heading 8"/>
    <w:basedOn w:val="Normal"/>
    <w:next w:val="Normal"/>
    <w:link w:val="Heading8Char"/>
    <w:qFormat/>
    <w:rsid w:val="00ED4C41"/>
    <w:pPr>
      <w:keepNext/>
      <w:widowControl w:val="0"/>
      <w:ind w:firstLine="357"/>
      <w:jc w:val="both"/>
      <w:outlineLvl w:val="7"/>
    </w:pPr>
    <w:rPr>
      <w:b/>
      <w:bCs/>
      <w:i/>
      <w:i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C41"/>
    <w:rPr>
      <w:rFonts w:ascii="Times New Roman" w:eastAsia="Times New Roman" w:hAnsi="Times New Roman" w:cs="Times New Roman"/>
      <w:b/>
      <w:smallCaps/>
      <w:sz w:val="24"/>
      <w:szCs w:val="20"/>
      <w:lang w:eastAsia="zh-CN"/>
    </w:rPr>
  </w:style>
  <w:style w:type="character" w:customStyle="1" w:styleId="Heading2Char">
    <w:name w:val="Heading 2 Char"/>
    <w:basedOn w:val="DefaultParagraphFont"/>
    <w:link w:val="Heading2"/>
    <w:rsid w:val="00ED4C41"/>
    <w:rPr>
      <w:rFonts w:ascii="Times New Roman" w:eastAsia="Times New Roman" w:hAnsi="Times New Roman" w:cs="Times New Roman"/>
      <w:b/>
      <w:sz w:val="24"/>
      <w:szCs w:val="20"/>
      <w:lang w:eastAsia="zh-CN"/>
    </w:rPr>
  </w:style>
  <w:style w:type="character" w:customStyle="1" w:styleId="Heading3Char">
    <w:name w:val="Heading 3 Char"/>
    <w:basedOn w:val="DefaultParagraphFont"/>
    <w:link w:val="Heading3"/>
    <w:rsid w:val="00ED4C41"/>
    <w:rPr>
      <w:rFonts w:ascii="Cambria" w:eastAsia="Times New Roman" w:hAnsi="Cambria" w:cs="Times New Roman"/>
      <w:b/>
      <w:bCs/>
      <w:sz w:val="26"/>
      <w:szCs w:val="26"/>
    </w:rPr>
  </w:style>
  <w:style w:type="character" w:customStyle="1" w:styleId="Heading4Char">
    <w:name w:val="Heading 4 Char"/>
    <w:basedOn w:val="DefaultParagraphFont"/>
    <w:link w:val="Heading4"/>
    <w:rsid w:val="00ED4C41"/>
    <w:rPr>
      <w:rFonts w:ascii="Calibri" w:eastAsia="Times New Roman" w:hAnsi="Calibri" w:cs="Times New Roman"/>
      <w:b/>
      <w:bCs/>
      <w:sz w:val="28"/>
      <w:szCs w:val="28"/>
    </w:rPr>
  </w:style>
  <w:style w:type="character" w:customStyle="1" w:styleId="Heading5Char">
    <w:name w:val="Heading 5 Char"/>
    <w:basedOn w:val="DefaultParagraphFont"/>
    <w:link w:val="Heading5"/>
    <w:rsid w:val="00ED4C41"/>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ED4C41"/>
    <w:rPr>
      <w:rFonts w:ascii="Times New Roman" w:eastAsia="Times New Roman" w:hAnsi="Times New Roman" w:cs="Times New Roman"/>
      <w:b/>
      <w:bCs/>
      <w:sz w:val="24"/>
      <w:szCs w:val="24"/>
      <w:lang w:val="lv-LV"/>
    </w:rPr>
  </w:style>
  <w:style w:type="character" w:customStyle="1" w:styleId="Heading8Char">
    <w:name w:val="Heading 8 Char"/>
    <w:basedOn w:val="DefaultParagraphFont"/>
    <w:link w:val="Heading8"/>
    <w:rsid w:val="00ED4C41"/>
    <w:rPr>
      <w:rFonts w:ascii="Times New Roman" w:eastAsia="Times New Roman" w:hAnsi="Times New Roman" w:cs="Times New Roman"/>
      <w:b/>
      <w:bCs/>
      <w:i/>
      <w:iCs/>
      <w:sz w:val="24"/>
      <w:szCs w:val="20"/>
      <w:lang w:val="lv-LV"/>
    </w:rPr>
  </w:style>
  <w:style w:type="paragraph" w:styleId="BodyText">
    <w:name w:val="Body Text"/>
    <w:basedOn w:val="Normal"/>
    <w:link w:val="BodyTextChar"/>
    <w:semiHidden/>
    <w:rsid w:val="00ED4C41"/>
    <w:pPr>
      <w:jc w:val="center"/>
    </w:pPr>
    <w:rPr>
      <w:b/>
      <w:bCs/>
    </w:rPr>
  </w:style>
  <w:style w:type="character" w:customStyle="1" w:styleId="BodyTextChar">
    <w:name w:val="Body Text Char"/>
    <w:basedOn w:val="DefaultParagraphFont"/>
    <w:link w:val="BodyText"/>
    <w:semiHidden/>
    <w:rsid w:val="00ED4C41"/>
    <w:rPr>
      <w:rFonts w:ascii="Times New Roman" w:eastAsia="Times New Roman" w:hAnsi="Times New Roman" w:cs="Times New Roman"/>
      <w:b/>
      <w:bCs/>
      <w:sz w:val="24"/>
      <w:szCs w:val="24"/>
    </w:rPr>
  </w:style>
  <w:style w:type="paragraph" w:styleId="Header">
    <w:name w:val="header"/>
    <w:basedOn w:val="Normal"/>
    <w:link w:val="HeaderChar"/>
    <w:rsid w:val="00ED4C41"/>
    <w:pPr>
      <w:tabs>
        <w:tab w:val="center" w:pos="4153"/>
        <w:tab w:val="right" w:pos="8306"/>
      </w:tabs>
    </w:pPr>
  </w:style>
  <w:style w:type="character" w:customStyle="1" w:styleId="HeaderChar">
    <w:name w:val="Header Char"/>
    <w:basedOn w:val="DefaultParagraphFont"/>
    <w:link w:val="Header"/>
    <w:rsid w:val="00ED4C41"/>
    <w:rPr>
      <w:rFonts w:ascii="Times New Roman" w:eastAsia="Times New Roman" w:hAnsi="Times New Roman" w:cs="Times New Roman"/>
      <w:sz w:val="24"/>
      <w:szCs w:val="24"/>
    </w:rPr>
  </w:style>
  <w:style w:type="paragraph" w:styleId="Footer">
    <w:name w:val="footer"/>
    <w:basedOn w:val="Normal"/>
    <w:link w:val="FooterChar"/>
    <w:rsid w:val="00ED4C41"/>
    <w:pPr>
      <w:tabs>
        <w:tab w:val="center" w:pos="4153"/>
        <w:tab w:val="right" w:pos="8306"/>
      </w:tabs>
    </w:pPr>
  </w:style>
  <w:style w:type="character" w:customStyle="1" w:styleId="FooterChar">
    <w:name w:val="Footer Char"/>
    <w:basedOn w:val="DefaultParagraphFont"/>
    <w:link w:val="Footer"/>
    <w:rsid w:val="00ED4C41"/>
    <w:rPr>
      <w:rFonts w:ascii="Times New Roman" w:eastAsia="Times New Roman" w:hAnsi="Times New Roman" w:cs="Times New Roman"/>
      <w:sz w:val="24"/>
      <w:szCs w:val="24"/>
    </w:rPr>
  </w:style>
  <w:style w:type="character" w:styleId="PageNumber">
    <w:name w:val="page number"/>
    <w:basedOn w:val="DefaultParagraphFont"/>
    <w:semiHidden/>
    <w:rsid w:val="00ED4C41"/>
  </w:style>
  <w:style w:type="paragraph" w:styleId="NormalWeb">
    <w:name w:val="Normal (Web)"/>
    <w:basedOn w:val="Normal"/>
    <w:semiHidden/>
    <w:rsid w:val="00ED4C41"/>
    <w:pPr>
      <w:spacing w:before="100" w:beforeAutospacing="1" w:after="100" w:afterAutospacing="1" w:line="324" w:lineRule="auto"/>
    </w:pPr>
    <w:rPr>
      <w:rFonts w:ascii="Verdana" w:eastAsia="Arial Unicode MS" w:hAnsi="Verdana" w:cs="Arial Unicode MS"/>
      <w:color w:val="272727"/>
      <w:sz w:val="18"/>
      <w:szCs w:val="18"/>
    </w:rPr>
  </w:style>
  <w:style w:type="character" w:customStyle="1" w:styleId="news1">
    <w:name w:val="news1"/>
    <w:rsid w:val="00ED4C41"/>
    <w:rPr>
      <w:color w:val="000000"/>
      <w:sz w:val="18"/>
      <w:szCs w:val="18"/>
    </w:rPr>
  </w:style>
  <w:style w:type="paragraph" w:styleId="BodyTextIndent">
    <w:name w:val="Body Text Indent"/>
    <w:basedOn w:val="Normal"/>
    <w:link w:val="BodyTextIndentChar"/>
    <w:semiHidden/>
    <w:rsid w:val="00ED4C41"/>
    <w:pPr>
      <w:ind w:hanging="360"/>
      <w:jc w:val="both"/>
    </w:pPr>
    <w:rPr>
      <w:szCs w:val="20"/>
      <w:lang w:val="lv-LV" w:eastAsia="x-none"/>
    </w:rPr>
  </w:style>
  <w:style w:type="character" w:customStyle="1" w:styleId="BodyTextIndentChar">
    <w:name w:val="Body Text Indent Char"/>
    <w:basedOn w:val="DefaultParagraphFont"/>
    <w:link w:val="BodyTextIndent"/>
    <w:semiHidden/>
    <w:rsid w:val="00ED4C41"/>
    <w:rPr>
      <w:rFonts w:ascii="Times New Roman" w:eastAsia="Times New Roman" w:hAnsi="Times New Roman" w:cs="Times New Roman"/>
      <w:sz w:val="24"/>
      <w:szCs w:val="20"/>
      <w:lang w:val="lv-LV" w:eastAsia="x-none"/>
    </w:rPr>
  </w:style>
  <w:style w:type="paragraph" w:styleId="BodyText2">
    <w:name w:val="Body Text 2"/>
    <w:basedOn w:val="Normal"/>
    <w:link w:val="BodyText2Char"/>
    <w:semiHidden/>
    <w:rsid w:val="00ED4C41"/>
    <w:pPr>
      <w:jc w:val="both"/>
    </w:pPr>
    <w:rPr>
      <w:szCs w:val="20"/>
      <w:lang w:val="lv-LV"/>
    </w:rPr>
  </w:style>
  <w:style w:type="character" w:customStyle="1" w:styleId="BodyText2Char">
    <w:name w:val="Body Text 2 Char"/>
    <w:basedOn w:val="DefaultParagraphFont"/>
    <w:link w:val="BodyText2"/>
    <w:semiHidden/>
    <w:rsid w:val="00ED4C41"/>
    <w:rPr>
      <w:rFonts w:ascii="Times New Roman" w:eastAsia="Times New Roman" w:hAnsi="Times New Roman" w:cs="Times New Roman"/>
      <w:sz w:val="24"/>
      <w:szCs w:val="20"/>
      <w:lang w:val="lv-LV"/>
    </w:rPr>
  </w:style>
  <w:style w:type="character" w:styleId="Hyperlink">
    <w:name w:val="Hyperlink"/>
    <w:semiHidden/>
    <w:rsid w:val="00ED4C41"/>
    <w:rPr>
      <w:color w:val="0000FF"/>
      <w:u w:val="single"/>
    </w:rPr>
  </w:style>
  <w:style w:type="paragraph" w:styleId="BodyText3">
    <w:name w:val="Body Text 3"/>
    <w:basedOn w:val="Normal"/>
    <w:link w:val="BodyText3Char"/>
    <w:semiHidden/>
    <w:rsid w:val="00ED4C41"/>
    <w:pPr>
      <w:jc w:val="both"/>
    </w:pPr>
    <w:rPr>
      <w:b/>
      <w:bCs/>
      <w:lang w:val="lv-LV"/>
    </w:rPr>
  </w:style>
  <w:style w:type="character" w:customStyle="1" w:styleId="BodyText3Char">
    <w:name w:val="Body Text 3 Char"/>
    <w:basedOn w:val="DefaultParagraphFont"/>
    <w:link w:val="BodyText3"/>
    <w:semiHidden/>
    <w:rsid w:val="00ED4C41"/>
    <w:rPr>
      <w:rFonts w:ascii="Times New Roman" w:eastAsia="Times New Roman" w:hAnsi="Times New Roman" w:cs="Times New Roman"/>
      <w:b/>
      <w:bCs/>
      <w:sz w:val="24"/>
      <w:szCs w:val="24"/>
      <w:lang w:val="lv-LV"/>
    </w:rPr>
  </w:style>
  <w:style w:type="paragraph" w:styleId="FootnoteText">
    <w:name w:val="footnote text"/>
    <w:basedOn w:val="Normal"/>
    <w:link w:val="FootnoteTextChar"/>
    <w:uiPriority w:val="99"/>
    <w:semiHidden/>
    <w:rsid w:val="00ED4C41"/>
    <w:rPr>
      <w:sz w:val="20"/>
      <w:szCs w:val="20"/>
    </w:rPr>
  </w:style>
  <w:style w:type="character" w:customStyle="1" w:styleId="FootnoteTextChar">
    <w:name w:val="Footnote Text Char"/>
    <w:basedOn w:val="DefaultParagraphFont"/>
    <w:link w:val="FootnoteText"/>
    <w:uiPriority w:val="99"/>
    <w:semiHidden/>
    <w:rsid w:val="00ED4C41"/>
    <w:rPr>
      <w:rFonts w:ascii="Times New Roman" w:eastAsia="Times New Roman" w:hAnsi="Times New Roman" w:cs="Times New Roman"/>
      <w:sz w:val="20"/>
      <w:szCs w:val="20"/>
    </w:rPr>
  </w:style>
  <w:style w:type="character" w:styleId="FootnoteReference">
    <w:name w:val="footnote reference"/>
    <w:uiPriority w:val="99"/>
    <w:semiHidden/>
    <w:rsid w:val="00ED4C41"/>
    <w:rPr>
      <w:vertAlign w:val="superscript"/>
    </w:rPr>
  </w:style>
  <w:style w:type="character" w:styleId="FollowedHyperlink">
    <w:name w:val="FollowedHyperlink"/>
    <w:semiHidden/>
    <w:rsid w:val="00ED4C41"/>
    <w:rPr>
      <w:color w:val="800080"/>
      <w:u w:val="single"/>
    </w:rPr>
  </w:style>
  <w:style w:type="paragraph" w:customStyle="1" w:styleId="naisf">
    <w:name w:val="naisf"/>
    <w:basedOn w:val="Normal"/>
    <w:rsid w:val="00ED4C41"/>
    <w:pPr>
      <w:spacing w:before="100" w:beforeAutospacing="1" w:after="100" w:afterAutospacing="1"/>
      <w:jc w:val="both"/>
    </w:pPr>
    <w:rPr>
      <w:rFonts w:eastAsia="Arial Unicode MS"/>
    </w:rPr>
  </w:style>
  <w:style w:type="paragraph" w:styleId="BodyTextIndent2">
    <w:name w:val="Body Text Indent 2"/>
    <w:basedOn w:val="Normal"/>
    <w:link w:val="BodyTextIndent2Char"/>
    <w:semiHidden/>
    <w:rsid w:val="00ED4C41"/>
    <w:pPr>
      <w:ind w:firstLine="720"/>
      <w:jc w:val="both"/>
    </w:pPr>
    <w:rPr>
      <w:lang w:val="lv-LV"/>
    </w:rPr>
  </w:style>
  <w:style w:type="character" w:customStyle="1" w:styleId="BodyTextIndent2Char">
    <w:name w:val="Body Text Indent 2 Char"/>
    <w:basedOn w:val="DefaultParagraphFont"/>
    <w:link w:val="BodyTextIndent2"/>
    <w:semiHidden/>
    <w:rsid w:val="00ED4C41"/>
    <w:rPr>
      <w:rFonts w:ascii="Times New Roman" w:eastAsia="Times New Roman" w:hAnsi="Times New Roman" w:cs="Times New Roman"/>
      <w:sz w:val="24"/>
      <w:szCs w:val="24"/>
      <w:lang w:val="lv-LV"/>
    </w:rPr>
  </w:style>
  <w:style w:type="character" w:styleId="Strong">
    <w:name w:val="Strong"/>
    <w:uiPriority w:val="22"/>
    <w:qFormat/>
    <w:rsid w:val="00ED4C41"/>
    <w:rPr>
      <w:b/>
      <w:bCs/>
    </w:rPr>
  </w:style>
  <w:style w:type="paragraph" w:styleId="BodyTextIndent3">
    <w:name w:val="Body Text Indent 3"/>
    <w:basedOn w:val="Normal"/>
    <w:link w:val="BodyTextIndent3Char"/>
    <w:semiHidden/>
    <w:rsid w:val="00ED4C41"/>
    <w:pPr>
      <w:ind w:left="720"/>
      <w:jc w:val="both"/>
    </w:pPr>
    <w:rPr>
      <w:lang w:val="lv-LV"/>
    </w:rPr>
  </w:style>
  <w:style w:type="character" w:customStyle="1" w:styleId="BodyTextIndent3Char">
    <w:name w:val="Body Text Indent 3 Char"/>
    <w:basedOn w:val="DefaultParagraphFont"/>
    <w:link w:val="BodyTextIndent3"/>
    <w:semiHidden/>
    <w:rsid w:val="00ED4C41"/>
    <w:rPr>
      <w:rFonts w:ascii="Times New Roman" w:eastAsia="Times New Roman" w:hAnsi="Times New Roman" w:cs="Times New Roman"/>
      <w:sz w:val="24"/>
      <w:szCs w:val="24"/>
      <w:lang w:val="lv-LV"/>
    </w:rPr>
  </w:style>
  <w:style w:type="paragraph" w:customStyle="1" w:styleId="BodyText1">
    <w:name w:val="Body Text1"/>
    <w:rsid w:val="00ED4C41"/>
    <w:pPr>
      <w:spacing w:after="0" w:line="226" w:lineRule="atLeast"/>
      <w:jc w:val="both"/>
    </w:pPr>
    <w:rPr>
      <w:rFonts w:ascii="Teutonica" w:eastAsia="Times New Roman" w:hAnsi="Teutonica" w:cs="Times New Roman"/>
      <w:snapToGrid w:val="0"/>
      <w:color w:val="000000"/>
      <w:sz w:val="20"/>
      <w:szCs w:val="20"/>
      <w:lang w:val="en-AU"/>
    </w:rPr>
  </w:style>
  <w:style w:type="paragraph" w:customStyle="1" w:styleId="Nobeigums">
    <w:name w:val="Nobeigums"/>
    <w:basedOn w:val="Normal"/>
    <w:rsid w:val="00ED4C41"/>
    <w:rPr>
      <w:szCs w:val="20"/>
      <w:lang w:val="en-US"/>
    </w:rPr>
  </w:style>
  <w:style w:type="paragraph" w:customStyle="1" w:styleId="TekstsN1">
    <w:name w:val="TekstsN1"/>
    <w:basedOn w:val="Normal"/>
    <w:autoRedefine/>
    <w:rsid w:val="00ED4C41"/>
    <w:pPr>
      <w:keepLines/>
      <w:numPr>
        <w:numId w:val="1"/>
      </w:numPr>
      <w:spacing w:before="320"/>
      <w:jc w:val="both"/>
      <w:outlineLvl w:val="0"/>
    </w:pPr>
    <w:rPr>
      <w:szCs w:val="20"/>
      <w:lang w:val="lv-LV"/>
    </w:rPr>
  </w:style>
  <w:style w:type="paragraph" w:customStyle="1" w:styleId="TekstsN2">
    <w:name w:val="TekstsN2"/>
    <w:basedOn w:val="Normal"/>
    <w:autoRedefine/>
    <w:rsid w:val="00ED4C41"/>
    <w:pPr>
      <w:keepLines/>
      <w:numPr>
        <w:ilvl w:val="1"/>
        <w:numId w:val="1"/>
      </w:numPr>
      <w:spacing w:before="320"/>
      <w:jc w:val="both"/>
      <w:outlineLvl w:val="1"/>
    </w:pPr>
    <w:rPr>
      <w:szCs w:val="20"/>
      <w:lang w:val="lv-LV"/>
    </w:rPr>
  </w:style>
  <w:style w:type="paragraph" w:customStyle="1" w:styleId="TekstsN3">
    <w:name w:val="TekstsN3"/>
    <w:basedOn w:val="Normal"/>
    <w:autoRedefine/>
    <w:rsid w:val="00ED4C41"/>
    <w:pPr>
      <w:keepLines/>
      <w:numPr>
        <w:ilvl w:val="2"/>
        <w:numId w:val="1"/>
      </w:numPr>
      <w:spacing w:before="320"/>
      <w:jc w:val="both"/>
      <w:outlineLvl w:val="2"/>
    </w:pPr>
    <w:rPr>
      <w:szCs w:val="20"/>
      <w:lang w:val="lv-LV"/>
    </w:rPr>
  </w:style>
  <w:style w:type="paragraph" w:styleId="BalloonText">
    <w:name w:val="Balloon Text"/>
    <w:basedOn w:val="Normal"/>
    <w:link w:val="BalloonTextChar"/>
    <w:uiPriority w:val="99"/>
    <w:semiHidden/>
    <w:unhideWhenUsed/>
    <w:rsid w:val="00ED4C41"/>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ED4C41"/>
    <w:rPr>
      <w:rFonts w:ascii="Tahoma" w:eastAsia="Times New Roman" w:hAnsi="Tahoma" w:cs="Times New Roman"/>
      <w:sz w:val="16"/>
      <w:szCs w:val="16"/>
      <w:lang w:eastAsia="x-none"/>
    </w:rPr>
  </w:style>
  <w:style w:type="character" w:customStyle="1" w:styleId="apple-converted-space">
    <w:name w:val="apple-converted-space"/>
    <w:basedOn w:val="DefaultParagraphFont"/>
    <w:rsid w:val="00ED4C41"/>
  </w:style>
  <w:style w:type="character" w:customStyle="1" w:styleId="hps">
    <w:name w:val="hps"/>
    <w:basedOn w:val="DefaultParagraphFont"/>
    <w:rsid w:val="00ED4C41"/>
  </w:style>
  <w:style w:type="character" w:styleId="CommentReference">
    <w:name w:val="annotation reference"/>
    <w:uiPriority w:val="99"/>
    <w:semiHidden/>
    <w:unhideWhenUsed/>
    <w:rsid w:val="00ED4C41"/>
    <w:rPr>
      <w:sz w:val="16"/>
      <w:szCs w:val="16"/>
    </w:rPr>
  </w:style>
  <w:style w:type="paragraph" w:styleId="CommentText">
    <w:name w:val="annotation text"/>
    <w:basedOn w:val="Normal"/>
    <w:link w:val="CommentTextChar"/>
    <w:uiPriority w:val="99"/>
    <w:semiHidden/>
    <w:unhideWhenUsed/>
    <w:rsid w:val="00ED4C41"/>
    <w:rPr>
      <w:sz w:val="20"/>
      <w:szCs w:val="20"/>
    </w:rPr>
  </w:style>
  <w:style w:type="character" w:customStyle="1" w:styleId="CommentTextChar">
    <w:name w:val="Comment Text Char"/>
    <w:basedOn w:val="DefaultParagraphFont"/>
    <w:link w:val="CommentText"/>
    <w:uiPriority w:val="99"/>
    <w:semiHidden/>
    <w:rsid w:val="00ED4C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C41"/>
    <w:rPr>
      <w:b/>
      <w:bCs/>
    </w:rPr>
  </w:style>
  <w:style w:type="character" w:customStyle="1" w:styleId="CommentSubjectChar">
    <w:name w:val="Comment Subject Char"/>
    <w:basedOn w:val="CommentTextChar"/>
    <w:link w:val="CommentSubject"/>
    <w:uiPriority w:val="99"/>
    <w:semiHidden/>
    <w:rsid w:val="00ED4C41"/>
    <w:rPr>
      <w:rFonts w:ascii="Times New Roman" w:eastAsia="Times New Roman" w:hAnsi="Times New Roman" w:cs="Times New Roman"/>
      <w:b/>
      <w:bCs/>
      <w:sz w:val="20"/>
      <w:szCs w:val="20"/>
    </w:rPr>
  </w:style>
  <w:style w:type="paragraph" w:styleId="Revision">
    <w:name w:val="Revision"/>
    <w:hidden/>
    <w:uiPriority w:val="99"/>
    <w:semiHidden/>
    <w:rsid w:val="00ED4C41"/>
    <w:pPr>
      <w:spacing w:after="0" w:line="240" w:lineRule="auto"/>
    </w:pPr>
    <w:rPr>
      <w:rFonts w:ascii="Times New Roman" w:eastAsia="Times New Roman" w:hAnsi="Times New Roman" w:cs="Times New Roman"/>
      <w:sz w:val="24"/>
      <w:szCs w:val="24"/>
    </w:rPr>
  </w:style>
  <w:style w:type="paragraph" w:customStyle="1" w:styleId="doc-ti">
    <w:name w:val="doc-ti"/>
    <w:basedOn w:val="Normal"/>
    <w:rsid w:val="00ED4C41"/>
    <w:pPr>
      <w:spacing w:before="100" w:beforeAutospacing="1" w:after="100" w:afterAutospacing="1"/>
    </w:pPr>
    <w:rPr>
      <w:lang w:val="lv-LV" w:eastAsia="lv-LV"/>
    </w:rPr>
  </w:style>
  <w:style w:type="paragraph" w:customStyle="1" w:styleId="Text1">
    <w:name w:val="Text 1"/>
    <w:basedOn w:val="Normal"/>
    <w:rsid w:val="00ED4C41"/>
    <w:pPr>
      <w:spacing w:before="120" w:after="120"/>
      <w:ind w:left="850"/>
      <w:jc w:val="both"/>
    </w:pPr>
    <w:rPr>
      <w:szCs w:val="20"/>
      <w:lang w:eastAsia="zh-CN"/>
    </w:rPr>
  </w:style>
  <w:style w:type="paragraph" w:customStyle="1" w:styleId="NumPar1">
    <w:name w:val="NumPar 1"/>
    <w:basedOn w:val="Normal"/>
    <w:next w:val="Text1"/>
    <w:rsid w:val="00ED4C41"/>
    <w:pPr>
      <w:tabs>
        <w:tab w:val="num" w:pos="850"/>
      </w:tabs>
      <w:spacing w:before="120" w:after="120"/>
      <w:ind w:left="850" w:hanging="850"/>
      <w:jc w:val="both"/>
    </w:pPr>
    <w:rPr>
      <w:szCs w:val="20"/>
      <w:lang w:eastAsia="zh-CN"/>
    </w:rPr>
  </w:style>
  <w:style w:type="paragraph" w:customStyle="1" w:styleId="Point1">
    <w:name w:val="Point 1"/>
    <w:basedOn w:val="Normal"/>
    <w:rsid w:val="00ED4C41"/>
    <w:pPr>
      <w:spacing w:before="120" w:after="120"/>
      <w:ind w:left="1417" w:hanging="567"/>
      <w:jc w:val="both"/>
    </w:pPr>
    <w:rPr>
      <w:szCs w:val="20"/>
      <w:lang w:eastAsia="zh-CN"/>
    </w:rPr>
  </w:style>
  <w:style w:type="paragraph" w:customStyle="1" w:styleId="NumPar2">
    <w:name w:val="NumPar 2"/>
    <w:basedOn w:val="Normal"/>
    <w:next w:val="Normal"/>
    <w:rsid w:val="00ED4C41"/>
    <w:pPr>
      <w:numPr>
        <w:ilvl w:val="1"/>
      </w:numPr>
      <w:tabs>
        <w:tab w:val="num" w:pos="850"/>
      </w:tabs>
      <w:spacing w:before="120" w:after="120"/>
      <w:ind w:left="850" w:hanging="850"/>
      <w:jc w:val="both"/>
    </w:pPr>
    <w:rPr>
      <w:szCs w:val="20"/>
      <w:lang w:eastAsia="zh-CN"/>
    </w:rPr>
  </w:style>
  <w:style w:type="paragraph" w:customStyle="1" w:styleId="NumPar3">
    <w:name w:val="NumPar 3"/>
    <w:basedOn w:val="Normal"/>
    <w:next w:val="Normal"/>
    <w:rsid w:val="00ED4C41"/>
    <w:pPr>
      <w:numPr>
        <w:ilvl w:val="2"/>
      </w:numPr>
      <w:tabs>
        <w:tab w:val="num" w:pos="850"/>
      </w:tabs>
      <w:spacing w:before="120" w:after="120"/>
      <w:ind w:left="850" w:hanging="850"/>
      <w:jc w:val="both"/>
    </w:pPr>
    <w:rPr>
      <w:szCs w:val="20"/>
      <w:lang w:eastAsia="zh-CN"/>
    </w:rPr>
  </w:style>
  <w:style w:type="paragraph" w:customStyle="1" w:styleId="NumPar4">
    <w:name w:val="NumPar 4"/>
    <w:basedOn w:val="Normal"/>
    <w:next w:val="Normal"/>
    <w:rsid w:val="00ED4C41"/>
    <w:pPr>
      <w:numPr>
        <w:ilvl w:val="3"/>
      </w:numPr>
      <w:tabs>
        <w:tab w:val="num" w:pos="850"/>
      </w:tabs>
      <w:spacing w:before="120" w:after="120"/>
      <w:ind w:left="850" w:hanging="850"/>
      <w:jc w:val="both"/>
    </w:pPr>
    <w:rPr>
      <w:szCs w:val="20"/>
      <w:lang w:eastAsia="zh-CN"/>
    </w:rPr>
  </w:style>
  <w:style w:type="paragraph" w:styleId="ListBullet">
    <w:name w:val="List Bullet"/>
    <w:basedOn w:val="Normal"/>
    <w:autoRedefine/>
    <w:semiHidden/>
    <w:rsid w:val="00ED4C41"/>
    <w:pPr>
      <w:tabs>
        <w:tab w:val="num" w:pos="360"/>
      </w:tabs>
      <w:ind w:left="360" w:hanging="360"/>
    </w:pPr>
  </w:style>
  <w:style w:type="paragraph" w:styleId="ListBullet2">
    <w:name w:val="List Bullet 2"/>
    <w:basedOn w:val="Normal"/>
    <w:autoRedefine/>
    <w:semiHidden/>
    <w:rsid w:val="00ED4C41"/>
    <w:pPr>
      <w:tabs>
        <w:tab w:val="num" w:pos="643"/>
      </w:tabs>
      <w:ind w:left="643" w:hanging="360"/>
    </w:pPr>
  </w:style>
  <w:style w:type="paragraph" w:styleId="ListBullet3">
    <w:name w:val="List Bullet 3"/>
    <w:basedOn w:val="Normal"/>
    <w:autoRedefine/>
    <w:semiHidden/>
    <w:rsid w:val="00ED4C41"/>
    <w:pPr>
      <w:tabs>
        <w:tab w:val="num" w:pos="926"/>
      </w:tabs>
      <w:ind w:left="926" w:hanging="360"/>
    </w:pPr>
  </w:style>
  <w:style w:type="paragraph" w:styleId="ListBullet4">
    <w:name w:val="List Bullet 4"/>
    <w:basedOn w:val="Normal"/>
    <w:autoRedefine/>
    <w:semiHidden/>
    <w:rsid w:val="00ED4C41"/>
    <w:pPr>
      <w:tabs>
        <w:tab w:val="num" w:pos="1209"/>
      </w:tabs>
      <w:ind w:left="1209" w:hanging="360"/>
    </w:pPr>
  </w:style>
  <w:style w:type="paragraph" w:styleId="ListBullet5">
    <w:name w:val="List Bullet 5"/>
    <w:basedOn w:val="Normal"/>
    <w:autoRedefine/>
    <w:semiHidden/>
    <w:rsid w:val="00ED4C41"/>
    <w:pPr>
      <w:tabs>
        <w:tab w:val="num" w:pos="1492"/>
      </w:tabs>
      <w:ind w:left="1492" w:hanging="360"/>
    </w:pPr>
  </w:style>
  <w:style w:type="paragraph" w:styleId="ListNumber">
    <w:name w:val="List Number"/>
    <w:basedOn w:val="Normal"/>
    <w:semiHidden/>
    <w:rsid w:val="00ED4C41"/>
    <w:pPr>
      <w:tabs>
        <w:tab w:val="num" w:pos="360"/>
      </w:tabs>
      <w:ind w:left="360" w:hanging="360"/>
    </w:pPr>
  </w:style>
  <w:style w:type="paragraph" w:styleId="ListNumber2">
    <w:name w:val="List Number 2"/>
    <w:basedOn w:val="Normal"/>
    <w:semiHidden/>
    <w:rsid w:val="00ED4C41"/>
    <w:pPr>
      <w:tabs>
        <w:tab w:val="num" w:pos="643"/>
      </w:tabs>
      <w:ind w:left="643" w:hanging="360"/>
    </w:pPr>
  </w:style>
  <w:style w:type="paragraph" w:styleId="ListNumber3">
    <w:name w:val="List Number 3"/>
    <w:basedOn w:val="Normal"/>
    <w:semiHidden/>
    <w:rsid w:val="00ED4C41"/>
    <w:pPr>
      <w:tabs>
        <w:tab w:val="num" w:pos="926"/>
      </w:tabs>
      <w:ind w:left="926" w:hanging="360"/>
    </w:pPr>
  </w:style>
  <w:style w:type="paragraph" w:styleId="ListNumber4">
    <w:name w:val="List Number 4"/>
    <w:basedOn w:val="Normal"/>
    <w:semiHidden/>
    <w:rsid w:val="00ED4C41"/>
    <w:pPr>
      <w:tabs>
        <w:tab w:val="num" w:pos="1209"/>
      </w:tabs>
      <w:ind w:left="1209" w:hanging="360"/>
    </w:pPr>
  </w:style>
  <w:style w:type="paragraph" w:styleId="ListNumber5">
    <w:name w:val="List Number 5"/>
    <w:basedOn w:val="Normal"/>
    <w:semiHidden/>
    <w:rsid w:val="00ED4C41"/>
    <w:pPr>
      <w:tabs>
        <w:tab w:val="num" w:pos="1492"/>
      </w:tabs>
      <w:ind w:left="1492" w:hanging="360"/>
    </w:pPr>
  </w:style>
  <w:style w:type="paragraph" w:customStyle="1" w:styleId="norm">
    <w:name w:val="norm"/>
    <w:basedOn w:val="Normal"/>
    <w:rsid w:val="00ED4C41"/>
    <w:pPr>
      <w:spacing w:before="100" w:beforeAutospacing="1" w:after="100" w:afterAutospacing="1"/>
    </w:pPr>
    <w:rPr>
      <w:lang w:val="lv-LV" w:eastAsia="lv-LV"/>
    </w:rPr>
  </w:style>
  <w:style w:type="table" w:styleId="TableGrid">
    <w:name w:val="Table Grid"/>
    <w:basedOn w:val="TableNormal"/>
    <w:uiPriority w:val="59"/>
    <w:rsid w:val="00ED4C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2">
    <w:name w:val="Teksts2"/>
    <w:basedOn w:val="Normal"/>
    <w:rsid w:val="00ED4C41"/>
    <w:pPr>
      <w:jc w:val="both"/>
    </w:pPr>
    <w:rPr>
      <w:szCs w:val="20"/>
      <w:lang w:val="lv-LV"/>
    </w:rPr>
  </w:style>
  <w:style w:type="paragraph" w:styleId="List">
    <w:name w:val="List"/>
    <w:basedOn w:val="Normal"/>
    <w:semiHidden/>
    <w:rsid w:val="00ED4C41"/>
    <w:pPr>
      <w:ind w:left="283" w:hanging="283"/>
    </w:pPr>
  </w:style>
  <w:style w:type="paragraph" w:styleId="List2">
    <w:name w:val="List 2"/>
    <w:basedOn w:val="Normal"/>
    <w:semiHidden/>
    <w:rsid w:val="00ED4C41"/>
    <w:pPr>
      <w:ind w:left="566" w:hanging="283"/>
    </w:pPr>
  </w:style>
  <w:style w:type="paragraph" w:customStyle="1" w:styleId="Tiret0">
    <w:name w:val="Tiret 0"/>
    <w:basedOn w:val="Normal"/>
    <w:rsid w:val="00ED4C41"/>
    <w:pPr>
      <w:numPr>
        <w:numId w:val="2"/>
      </w:numPr>
      <w:spacing w:before="120" w:after="120"/>
      <w:jc w:val="both"/>
    </w:pPr>
    <w:rPr>
      <w:szCs w:val="20"/>
      <w:lang w:val="lv-LV" w:eastAsia="zh-CN"/>
    </w:rPr>
  </w:style>
  <w:style w:type="character" w:customStyle="1" w:styleId="boldface">
    <w:name w:val="boldface"/>
    <w:rsid w:val="00ED4C41"/>
  </w:style>
  <w:style w:type="paragraph" w:styleId="ListParagraph">
    <w:name w:val="List Paragraph"/>
    <w:basedOn w:val="Normal"/>
    <w:uiPriority w:val="34"/>
    <w:qFormat/>
    <w:rsid w:val="00ED4C41"/>
    <w:pPr>
      <w:ind w:left="720"/>
      <w:contextualSpacing/>
    </w:pPr>
  </w:style>
  <w:style w:type="paragraph" w:styleId="EndnoteText">
    <w:name w:val="endnote text"/>
    <w:basedOn w:val="Normal"/>
    <w:link w:val="EndnoteTextChar"/>
    <w:uiPriority w:val="99"/>
    <w:semiHidden/>
    <w:unhideWhenUsed/>
    <w:rsid w:val="00ED4C41"/>
    <w:rPr>
      <w:sz w:val="20"/>
      <w:szCs w:val="20"/>
    </w:rPr>
  </w:style>
  <w:style w:type="character" w:customStyle="1" w:styleId="EndnoteTextChar">
    <w:name w:val="Endnote Text Char"/>
    <w:basedOn w:val="DefaultParagraphFont"/>
    <w:link w:val="EndnoteText"/>
    <w:uiPriority w:val="99"/>
    <w:semiHidden/>
    <w:rsid w:val="00ED4C41"/>
    <w:rPr>
      <w:rFonts w:ascii="Times New Roman" w:eastAsia="Times New Roman" w:hAnsi="Times New Roman" w:cs="Times New Roman"/>
      <w:sz w:val="20"/>
      <w:szCs w:val="20"/>
    </w:rPr>
  </w:style>
  <w:style w:type="character" w:styleId="EndnoteReference">
    <w:name w:val="endnote reference"/>
    <w:uiPriority w:val="99"/>
    <w:semiHidden/>
    <w:unhideWhenUsed/>
    <w:rsid w:val="00ED4C41"/>
    <w:rPr>
      <w:vertAlign w:val="superscript"/>
    </w:rPr>
  </w:style>
  <w:style w:type="paragraph" w:customStyle="1" w:styleId="Teksts1">
    <w:name w:val="Teksts1"/>
    <w:basedOn w:val="Normal"/>
    <w:rsid w:val="00ED4C41"/>
    <w:pPr>
      <w:spacing w:after="320"/>
      <w:jc w:val="both"/>
    </w:pPr>
    <w:rPr>
      <w:szCs w:val="20"/>
      <w:lang w:val="lv-LV"/>
    </w:rPr>
  </w:style>
  <w:style w:type="paragraph" w:customStyle="1" w:styleId="CM14">
    <w:name w:val="CM1+4"/>
    <w:basedOn w:val="Normal"/>
    <w:next w:val="Normal"/>
    <w:uiPriority w:val="99"/>
    <w:rsid w:val="00ED4C41"/>
    <w:pPr>
      <w:autoSpaceDE w:val="0"/>
      <w:autoSpaceDN w:val="0"/>
      <w:adjustRightInd w:val="0"/>
    </w:pPr>
    <w:rPr>
      <w:rFonts w:ascii="EUAlbertina" w:hAnsi="EUAlbertina"/>
      <w:lang w:val="lv-LV" w:eastAsia="lv-LV"/>
    </w:rPr>
  </w:style>
  <w:style w:type="paragraph" w:customStyle="1" w:styleId="CM34">
    <w:name w:val="CM3+4"/>
    <w:basedOn w:val="Normal"/>
    <w:next w:val="Normal"/>
    <w:uiPriority w:val="99"/>
    <w:rsid w:val="00ED4C41"/>
    <w:pPr>
      <w:autoSpaceDE w:val="0"/>
      <w:autoSpaceDN w:val="0"/>
      <w:adjustRightInd w:val="0"/>
    </w:pPr>
    <w:rPr>
      <w:rFonts w:ascii="EUAlbertina" w:hAnsi="EUAlbertina"/>
      <w:lang w:val="lv-LV" w:eastAsia="lv-LV"/>
    </w:rPr>
  </w:style>
  <w:style w:type="paragraph" w:customStyle="1" w:styleId="normal2">
    <w:name w:val="normal2"/>
    <w:basedOn w:val="Normal"/>
    <w:rsid w:val="00ED4C41"/>
    <w:pPr>
      <w:spacing w:before="120" w:line="312" w:lineRule="atLeast"/>
      <w:jc w:val="both"/>
    </w:pPr>
    <w:rPr>
      <w:lang w:val="lv-LV" w:eastAsia="lv-LV"/>
    </w:rPr>
  </w:style>
  <w:style w:type="character" w:customStyle="1" w:styleId="italic1">
    <w:name w:val="italic1"/>
    <w:rsid w:val="00ED4C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41"/>
    <w:pPr>
      <w:spacing w:after="0" w:line="240" w:lineRule="auto"/>
    </w:pPr>
    <w:rPr>
      <w:rFonts w:ascii="Times New Roman" w:eastAsia="Times New Roman" w:hAnsi="Times New Roman" w:cs="Times New Roman"/>
      <w:sz w:val="24"/>
      <w:szCs w:val="24"/>
    </w:rPr>
  </w:style>
  <w:style w:type="paragraph" w:styleId="Heading1">
    <w:name w:val="heading 1"/>
    <w:basedOn w:val="Normal"/>
    <w:next w:val="Text1"/>
    <w:link w:val="Heading1Char"/>
    <w:qFormat/>
    <w:rsid w:val="00ED4C41"/>
    <w:pPr>
      <w:keepNext/>
      <w:tabs>
        <w:tab w:val="num" w:pos="850"/>
      </w:tabs>
      <w:spacing w:before="360" w:after="120"/>
      <w:ind w:left="850" w:hanging="850"/>
      <w:jc w:val="both"/>
      <w:outlineLvl w:val="0"/>
    </w:pPr>
    <w:rPr>
      <w:b/>
      <w:smallCaps/>
      <w:szCs w:val="20"/>
      <w:lang w:eastAsia="zh-CN"/>
    </w:rPr>
  </w:style>
  <w:style w:type="paragraph" w:styleId="Heading2">
    <w:name w:val="heading 2"/>
    <w:basedOn w:val="Normal"/>
    <w:next w:val="Normal"/>
    <w:link w:val="Heading2Char"/>
    <w:qFormat/>
    <w:rsid w:val="00ED4C41"/>
    <w:pPr>
      <w:keepNext/>
      <w:tabs>
        <w:tab w:val="num" w:pos="850"/>
      </w:tabs>
      <w:spacing w:before="120" w:after="120"/>
      <w:ind w:left="850" w:hanging="850"/>
      <w:jc w:val="both"/>
      <w:outlineLvl w:val="1"/>
    </w:pPr>
    <w:rPr>
      <w:b/>
      <w:szCs w:val="20"/>
      <w:lang w:eastAsia="zh-CN"/>
    </w:rPr>
  </w:style>
  <w:style w:type="paragraph" w:styleId="Heading3">
    <w:name w:val="heading 3"/>
    <w:basedOn w:val="Normal"/>
    <w:next w:val="Normal"/>
    <w:link w:val="Heading3Char"/>
    <w:unhideWhenUsed/>
    <w:qFormat/>
    <w:rsid w:val="00ED4C41"/>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D4C4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D4C41"/>
    <w:pPr>
      <w:keepNext/>
      <w:outlineLvl w:val="4"/>
    </w:pPr>
    <w:rPr>
      <w:b/>
      <w:bCs/>
      <w:lang w:val="lv-LV"/>
    </w:rPr>
  </w:style>
  <w:style w:type="paragraph" w:styleId="Heading6">
    <w:name w:val="heading 6"/>
    <w:basedOn w:val="Normal"/>
    <w:next w:val="Normal"/>
    <w:link w:val="Heading6Char"/>
    <w:qFormat/>
    <w:rsid w:val="00ED4C41"/>
    <w:pPr>
      <w:keepNext/>
      <w:jc w:val="center"/>
      <w:outlineLvl w:val="5"/>
    </w:pPr>
    <w:rPr>
      <w:b/>
      <w:bCs/>
      <w:lang w:val="lv-LV"/>
    </w:rPr>
  </w:style>
  <w:style w:type="paragraph" w:styleId="Heading8">
    <w:name w:val="heading 8"/>
    <w:basedOn w:val="Normal"/>
    <w:next w:val="Normal"/>
    <w:link w:val="Heading8Char"/>
    <w:qFormat/>
    <w:rsid w:val="00ED4C41"/>
    <w:pPr>
      <w:keepNext/>
      <w:widowControl w:val="0"/>
      <w:ind w:firstLine="357"/>
      <w:jc w:val="both"/>
      <w:outlineLvl w:val="7"/>
    </w:pPr>
    <w:rPr>
      <w:b/>
      <w:bCs/>
      <w:i/>
      <w:i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C41"/>
    <w:rPr>
      <w:rFonts w:ascii="Times New Roman" w:eastAsia="Times New Roman" w:hAnsi="Times New Roman" w:cs="Times New Roman"/>
      <w:b/>
      <w:smallCaps/>
      <w:sz w:val="24"/>
      <w:szCs w:val="20"/>
      <w:lang w:eastAsia="zh-CN"/>
    </w:rPr>
  </w:style>
  <w:style w:type="character" w:customStyle="1" w:styleId="Heading2Char">
    <w:name w:val="Heading 2 Char"/>
    <w:basedOn w:val="DefaultParagraphFont"/>
    <w:link w:val="Heading2"/>
    <w:rsid w:val="00ED4C41"/>
    <w:rPr>
      <w:rFonts w:ascii="Times New Roman" w:eastAsia="Times New Roman" w:hAnsi="Times New Roman" w:cs="Times New Roman"/>
      <w:b/>
      <w:sz w:val="24"/>
      <w:szCs w:val="20"/>
      <w:lang w:eastAsia="zh-CN"/>
    </w:rPr>
  </w:style>
  <w:style w:type="character" w:customStyle="1" w:styleId="Heading3Char">
    <w:name w:val="Heading 3 Char"/>
    <w:basedOn w:val="DefaultParagraphFont"/>
    <w:link w:val="Heading3"/>
    <w:rsid w:val="00ED4C41"/>
    <w:rPr>
      <w:rFonts w:ascii="Cambria" w:eastAsia="Times New Roman" w:hAnsi="Cambria" w:cs="Times New Roman"/>
      <w:b/>
      <w:bCs/>
      <w:sz w:val="26"/>
      <w:szCs w:val="26"/>
    </w:rPr>
  </w:style>
  <w:style w:type="character" w:customStyle="1" w:styleId="Heading4Char">
    <w:name w:val="Heading 4 Char"/>
    <w:basedOn w:val="DefaultParagraphFont"/>
    <w:link w:val="Heading4"/>
    <w:rsid w:val="00ED4C41"/>
    <w:rPr>
      <w:rFonts w:ascii="Calibri" w:eastAsia="Times New Roman" w:hAnsi="Calibri" w:cs="Times New Roman"/>
      <w:b/>
      <w:bCs/>
      <w:sz w:val="28"/>
      <w:szCs w:val="28"/>
    </w:rPr>
  </w:style>
  <w:style w:type="character" w:customStyle="1" w:styleId="Heading5Char">
    <w:name w:val="Heading 5 Char"/>
    <w:basedOn w:val="DefaultParagraphFont"/>
    <w:link w:val="Heading5"/>
    <w:rsid w:val="00ED4C41"/>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ED4C41"/>
    <w:rPr>
      <w:rFonts w:ascii="Times New Roman" w:eastAsia="Times New Roman" w:hAnsi="Times New Roman" w:cs="Times New Roman"/>
      <w:b/>
      <w:bCs/>
      <w:sz w:val="24"/>
      <w:szCs w:val="24"/>
      <w:lang w:val="lv-LV"/>
    </w:rPr>
  </w:style>
  <w:style w:type="character" w:customStyle="1" w:styleId="Heading8Char">
    <w:name w:val="Heading 8 Char"/>
    <w:basedOn w:val="DefaultParagraphFont"/>
    <w:link w:val="Heading8"/>
    <w:rsid w:val="00ED4C41"/>
    <w:rPr>
      <w:rFonts w:ascii="Times New Roman" w:eastAsia="Times New Roman" w:hAnsi="Times New Roman" w:cs="Times New Roman"/>
      <w:b/>
      <w:bCs/>
      <w:i/>
      <w:iCs/>
      <w:sz w:val="24"/>
      <w:szCs w:val="20"/>
      <w:lang w:val="lv-LV"/>
    </w:rPr>
  </w:style>
  <w:style w:type="paragraph" w:styleId="BodyText">
    <w:name w:val="Body Text"/>
    <w:basedOn w:val="Normal"/>
    <w:link w:val="BodyTextChar"/>
    <w:semiHidden/>
    <w:rsid w:val="00ED4C41"/>
    <w:pPr>
      <w:jc w:val="center"/>
    </w:pPr>
    <w:rPr>
      <w:b/>
      <w:bCs/>
    </w:rPr>
  </w:style>
  <w:style w:type="character" w:customStyle="1" w:styleId="BodyTextChar">
    <w:name w:val="Body Text Char"/>
    <w:basedOn w:val="DefaultParagraphFont"/>
    <w:link w:val="BodyText"/>
    <w:semiHidden/>
    <w:rsid w:val="00ED4C41"/>
    <w:rPr>
      <w:rFonts w:ascii="Times New Roman" w:eastAsia="Times New Roman" w:hAnsi="Times New Roman" w:cs="Times New Roman"/>
      <w:b/>
      <w:bCs/>
      <w:sz w:val="24"/>
      <w:szCs w:val="24"/>
    </w:rPr>
  </w:style>
  <w:style w:type="paragraph" w:styleId="Header">
    <w:name w:val="header"/>
    <w:basedOn w:val="Normal"/>
    <w:link w:val="HeaderChar"/>
    <w:rsid w:val="00ED4C41"/>
    <w:pPr>
      <w:tabs>
        <w:tab w:val="center" w:pos="4153"/>
        <w:tab w:val="right" w:pos="8306"/>
      </w:tabs>
    </w:pPr>
  </w:style>
  <w:style w:type="character" w:customStyle="1" w:styleId="HeaderChar">
    <w:name w:val="Header Char"/>
    <w:basedOn w:val="DefaultParagraphFont"/>
    <w:link w:val="Header"/>
    <w:rsid w:val="00ED4C41"/>
    <w:rPr>
      <w:rFonts w:ascii="Times New Roman" w:eastAsia="Times New Roman" w:hAnsi="Times New Roman" w:cs="Times New Roman"/>
      <w:sz w:val="24"/>
      <w:szCs w:val="24"/>
    </w:rPr>
  </w:style>
  <w:style w:type="paragraph" w:styleId="Footer">
    <w:name w:val="footer"/>
    <w:basedOn w:val="Normal"/>
    <w:link w:val="FooterChar"/>
    <w:rsid w:val="00ED4C41"/>
    <w:pPr>
      <w:tabs>
        <w:tab w:val="center" w:pos="4153"/>
        <w:tab w:val="right" w:pos="8306"/>
      </w:tabs>
    </w:pPr>
  </w:style>
  <w:style w:type="character" w:customStyle="1" w:styleId="FooterChar">
    <w:name w:val="Footer Char"/>
    <w:basedOn w:val="DefaultParagraphFont"/>
    <w:link w:val="Footer"/>
    <w:rsid w:val="00ED4C41"/>
    <w:rPr>
      <w:rFonts w:ascii="Times New Roman" w:eastAsia="Times New Roman" w:hAnsi="Times New Roman" w:cs="Times New Roman"/>
      <w:sz w:val="24"/>
      <w:szCs w:val="24"/>
    </w:rPr>
  </w:style>
  <w:style w:type="character" w:styleId="PageNumber">
    <w:name w:val="page number"/>
    <w:basedOn w:val="DefaultParagraphFont"/>
    <w:semiHidden/>
    <w:rsid w:val="00ED4C41"/>
  </w:style>
  <w:style w:type="paragraph" w:styleId="NormalWeb">
    <w:name w:val="Normal (Web)"/>
    <w:basedOn w:val="Normal"/>
    <w:semiHidden/>
    <w:rsid w:val="00ED4C41"/>
    <w:pPr>
      <w:spacing w:before="100" w:beforeAutospacing="1" w:after="100" w:afterAutospacing="1" w:line="324" w:lineRule="auto"/>
    </w:pPr>
    <w:rPr>
      <w:rFonts w:ascii="Verdana" w:eastAsia="Arial Unicode MS" w:hAnsi="Verdana" w:cs="Arial Unicode MS"/>
      <w:color w:val="272727"/>
      <w:sz w:val="18"/>
      <w:szCs w:val="18"/>
    </w:rPr>
  </w:style>
  <w:style w:type="character" w:customStyle="1" w:styleId="news1">
    <w:name w:val="news1"/>
    <w:rsid w:val="00ED4C41"/>
    <w:rPr>
      <w:color w:val="000000"/>
      <w:sz w:val="18"/>
      <w:szCs w:val="18"/>
    </w:rPr>
  </w:style>
  <w:style w:type="paragraph" w:styleId="BodyTextIndent">
    <w:name w:val="Body Text Indent"/>
    <w:basedOn w:val="Normal"/>
    <w:link w:val="BodyTextIndentChar"/>
    <w:semiHidden/>
    <w:rsid w:val="00ED4C41"/>
    <w:pPr>
      <w:ind w:hanging="360"/>
      <w:jc w:val="both"/>
    </w:pPr>
    <w:rPr>
      <w:szCs w:val="20"/>
      <w:lang w:val="lv-LV" w:eastAsia="x-none"/>
    </w:rPr>
  </w:style>
  <w:style w:type="character" w:customStyle="1" w:styleId="BodyTextIndentChar">
    <w:name w:val="Body Text Indent Char"/>
    <w:basedOn w:val="DefaultParagraphFont"/>
    <w:link w:val="BodyTextIndent"/>
    <w:semiHidden/>
    <w:rsid w:val="00ED4C41"/>
    <w:rPr>
      <w:rFonts w:ascii="Times New Roman" w:eastAsia="Times New Roman" w:hAnsi="Times New Roman" w:cs="Times New Roman"/>
      <w:sz w:val="24"/>
      <w:szCs w:val="20"/>
      <w:lang w:val="lv-LV" w:eastAsia="x-none"/>
    </w:rPr>
  </w:style>
  <w:style w:type="paragraph" w:styleId="BodyText2">
    <w:name w:val="Body Text 2"/>
    <w:basedOn w:val="Normal"/>
    <w:link w:val="BodyText2Char"/>
    <w:semiHidden/>
    <w:rsid w:val="00ED4C41"/>
    <w:pPr>
      <w:jc w:val="both"/>
    </w:pPr>
    <w:rPr>
      <w:szCs w:val="20"/>
      <w:lang w:val="lv-LV"/>
    </w:rPr>
  </w:style>
  <w:style w:type="character" w:customStyle="1" w:styleId="BodyText2Char">
    <w:name w:val="Body Text 2 Char"/>
    <w:basedOn w:val="DefaultParagraphFont"/>
    <w:link w:val="BodyText2"/>
    <w:semiHidden/>
    <w:rsid w:val="00ED4C41"/>
    <w:rPr>
      <w:rFonts w:ascii="Times New Roman" w:eastAsia="Times New Roman" w:hAnsi="Times New Roman" w:cs="Times New Roman"/>
      <w:sz w:val="24"/>
      <w:szCs w:val="20"/>
      <w:lang w:val="lv-LV"/>
    </w:rPr>
  </w:style>
  <w:style w:type="character" w:styleId="Hyperlink">
    <w:name w:val="Hyperlink"/>
    <w:semiHidden/>
    <w:rsid w:val="00ED4C41"/>
    <w:rPr>
      <w:color w:val="0000FF"/>
      <w:u w:val="single"/>
    </w:rPr>
  </w:style>
  <w:style w:type="paragraph" w:styleId="BodyText3">
    <w:name w:val="Body Text 3"/>
    <w:basedOn w:val="Normal"/>
    <w:link w:val="BodyText3Char"/>
    <w:semiHidden/>
    <w:rsid w:val="00ED4C41"/>
    <w:pPr>
      <w:jc w:val="both"/>
    </w:pPr>
    <w:rPr>
      <w:b/>
      <w:bCs/>
      <w:lang w:val="lv-LV"/>
    </w:rPr>
  </w:style>
  <w:style w:type="character" w:customStyle="1" w:styleId="BodyText3Char">
    <w:name w:val="Body Text 3 Char"/>
    <w:basedOn w:val="DefaultParagraphFont"/>
    <w:link w:val="BodyText3"/>
    <w:semiHidden/>
    <w:rsid w:val="00ED4C41"/>
    <w:rPr>
      <w:rFonts w:ascii="Times New Roman" w:eastAsia="Times New Roman" w:hAnsi="Times New Roman" w:cs="Times New Roman"/>
      <w:b/>
      <w:bCs/>
      <w:sz w:val="24"/>
      <w:szCs w:val="24"/>
      <w:lang w:val="lv-LV"/>
    </w:rPr>
  </w:style>
  <w:style w:type="paragraph" w:styleId="FootnoteText">
    <w:name w:val="footnote text"/>
    <w:basedOn w:val="Normal"/>
    <w:link w:val="FootnoteTextChar"/>
    <w:uiPriority w:val="99"/>
    <w:semiHidden/>
    <w:rsid w:val="00ED4C41"/>
    <w:rPr>
      <w:sz w:val="20"/>
      <w:szCs w:val="20"/>
    </w:rPr>
  </w:style>
  <w:style w:type="character" w:customStyle="1" w:styleId="FootnoteTextChar">
    <w:name w:val="Footnote Text Char"/>
    <w:basedOn w:val="DefaultParagraphFont"/>
    <w:link w:val="FootnoteText"/>
    <w:uiPriority w:val="99"/>
    <w:semiHidden/>
    <w:rsid w:val="00ED4C41"/>
    <w:rPr>
      <w:rFonts w:ascii="Times New Roman" w:eastAsia="Times New Roman" w:hAnsi="Times New Roman" w:cs="Times New Roman"/>
      <w:sz w:val="20"/>
      <w:szCs w:val="20"/>
    </w:rPr>
  </w:style>
  <w:style w:type="character" w:styleId="FootnoteReference">
    <w:name w:val="footnote reference"/>
    <w:uiPriority w:val="99"/>
    <w:semiHidden/>
    <w:rsid w:val="00ED4C41"/>
    <w:rPr>
      <w:vertAlign w:val="superscript"/>
    </w:rPr>
  </w:style>
  <w:style w:type="character" w:styleId="FollowedHyperlink">
    <w:name w:val="FollowedHyperlink"/>
    <w:semiHidden/>
    <w:rsid w:val="00ED4C41"/>
    <w:rPr>
      <w:color w:val="800080"/>
      <w:u w:val="single"/>
    </w:rPr>
  </w:style>
  <w:style w:type="paragraph" w:customStyle="1" w:styleId="naisf">
    <w:name w:val="naisf"/>
    <w:basedOn w:val="Normal"/>
    <w:rsid w:val="00ED4C41"/>
    <w:pPr>
      <w:spacing w:before="100" w:beforeAutospacing="1" w:after="100" w:afterAutospacing="1"/>
      <w:jc w:val="both"/>
    </w:pPr>
    <w:rPr>
      <w:rFonts w:eastAsia="Arial Unicode MS"/>
    </w:rPr>
  </w:style>
  <w:style w:type="paragraph" w:styleId="BodyTextIndent2">
    <w:name w:val="Body Text Indent 2"/>
    <w:basedOn w:val="Normal"/>
    <w:link w:val="BodyTextIndent2Char"/>
    <w:semiHidden/>
    <w:rsid w:val="00ED4C41"/>
    <w:pPr>
      <w:ind w:firstLine="720"/>
      <w:jc w:val="both"/>
    </w:pPr>
    <w:rPr>
      <w:lang w:val="lv-LV"/>
    </w:rPr>
  </w:style>
  <w:style w:type="character" w:customStyle="1" w:styleId="BodyTextIndent2Char">
    <w:name w:val="Body Text Indent 2 Char"/>
    <w:basedOn w:val="DefaultParagraphFont"/>
    <w:link w:val="BodyTextIndent2"/>
    <w:semiHidden/>
    <w:rsid w:val="00ED4C41"/>
    <w:rPr>
      <w:rFonts w:ascii="Times New Roman" w:eastAsia="Times New Roman" w:hAnsi="Times New Roman" w:cs="Times New Roman"/>
      <w:sz w:val="24"/>
      <w:szCs w:val="24"/>
      <w:lang w:val="lv-LV"/>
    </w:rPr>
  </w:style>
  <w:style w:type="character" w:styleId="Strong">
    <w:name w:val="Strong"/>
    <w:uiPriority w:val="22"/>
    <w:qFormat/>
    <w:rsid w:val="00ED4C41"/>
    <w:rPr>
      <w:b/>
      <w:bCs/>
    </w:rPr>
  </w:style>
  <w:style w:type="paragraph" w:styleId="BodyTextIndent3">
    <w:name w:val="Body Text Indent 3"/>
    <w:basedOn w:val="Normal"/>
    <w:link w:val="BodyTextIndent3Char"/>
    <w:semiHidden/>
    <w:rsid w:val="00ED4C41"/>
    <w:pPr>
      <w:ind w:left="720"/>
      <w:jc w:val="both"/>
    </w:pPr>
    <w:rPr>
      <w:lang w:val="lv-LV"/>
    </w:rPr>
  </w:style>
  <w:style w:type="character" w:customStyle="1" w:styleId="BodyTextIndent3Char">
    <w:name w:val="Body Text Indent 3 Char"/>
    <w:basedOn w:val="DefaultParagraphFont"/>
    <w:link w:val="BodyTextIndent3"/>
    <w:semiHidden/>
    <w:rsid w:val="00ED4C41"/>
    <w:rPr>
      <w:rFonts w:ascii="Times New Roman" w:eastAsia="Times New Roman" w:hAnsi="Times New Roman" w:cs="Times New Roman"/>
      <w:sz w:val="24"/>
      <w:szCs w:val="24"/>
      <w:lang w:val="lv-LV"/>
    </w:rPr>
  </w:style>
  <w:style w:type="paragraph" w:customStyle="1" w:styleId="BodyText1">
    <w:name w:val="Body Text1"/>
    <w:rsid w:val="00ED4C41"/>
    <w:pPr>
      <w:spacing w:after="0" w:line="226" w:lineRule="atLeast"/>
      <w:jc w:val="both"/>
    </w:pPr>
    <w:rPr>
      <w:rFonts w:ascii="Teutonica" w:eastAsia="Times New Roman" w:hAnsi="Teutonica" w:cs="Times New Roman"/>
      <w:snapToGrid w:val="0"/>
      <w:color w:val="000000"/>
      <w:sz w:val="20"/>
      <w:szCs w:val="20"/>
      <w:lang w:val="en-AU"/>
    </w:rPr>
  </w:style>
  <w:style w:type="paragraph" w:customStyle="1" w:styleId="Nobeigums">
    <w:name w:val="Nobeigums"/>
    <w:basedOn w:val="Normal"/>
    <w:rsid w:val="00ED4C41"/>
    <w:rPr>
      <w:szCs w:val="20"/>
      <w:lang w:val="en-US"/>
    </w:rPr>
  </w:style>
  <w:style w:type="paragraph" w:customStyle="1" w:styleId="TekstsN1">
    <w:name w:val="TekstsN1"/>
    <w:basedOn w:val="Normal"/>
    <w:autoRedefine/>
    <w:rsid w:val="00ED4C41"/>
    <w:pPr>
      <w:keepLines/>
      <w:numPr>
        <w:numId w:val="1"/>
      </w:numPr>
      <w:spacing w:before="320"/>
      <w:jc w:val="both"/>
      <w:outlineLvl w:val="0"/>
    </w:pPr>
    <w:rPr>
      <w:szCs w:val="20"/>
      <w:lang w:val="lv-LV"/>
    </w:rPr>
  </w:style>
  <w:style w:type="paragraph" w:customStyle="1" w:styleId="TekstsN2">
    <w:name w:val="TekstsN2"/>
    <w:basedOn w:val="Normal"/>
    <w:autoRedefine/>
    <w:rsid w:val="00ED4C41"/>
    <w:pPr>
      <w:keepLines/>
      <w:numPr>
        <w:ilvl w:val="1"/>
        <w:numId w:val="1"/>
      </w:numPr>
      <w:spacing w:before="320"/>
      <w:jc w:val="both"/>
      <w:outlineLvl w:val="1"/>
    </w:pPr>
    <w:rPr>
      <w:szCs w:val="20"/>
      <w:lang w:val="lv-LV"/>
    </w:rPr>
  </w:style>
  <w:style w:type="paragraph" w:customStyle="1" w:styleId="TekstsN3">
    <w:name w:val="TekstsN3"/>
    <w:basedOn w:val="Normal"/>
    <w:autoRedefine/>
    <w:rsid w:val="00ED4C41"/>
    <w:pPr>
      <w:keepLines/>
      <w:numPr>
        <w:ilvl w:val="2"/>
        <w:numId w:val="1"/>
      </w:numPr>
      <w:spacing w:before="320"/>
      <w:jc w:val="both"/>
      <w:outlineLvl w:val="2"/>
    </w:pPr>
    <w:rPr>
      <w:szCs w:val="20"/>
      <w:lang w:val="lv-LV"/>
    </w:rPr>
  </w:style>
  <w:style w:type="paragraph" w:styleId="BalloonText">
    <w:name w:val="Balloon Text"/>
    <w:basedOn w:val="Normal"/>
    <w:link w:val="BalloonTextChar"/>
    <w:uiPriority w:val="99"/>
    <w:semiHidden/>
    <w:unhideWhenUsed/>
    <w:rsid w:val="00ED4C41"/>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ED4C41"/>
    <w:rPr>
      <w:rFonts w:ascii="Tahoma" w:eastAsia="Times New Roman" w:hAnsi="Tahoma" w:cs="Times New Roman"/>
      <w:sz w:val="16"/>
      <w:szCs w:val="16"/>
      <w:lang w:eastAsia="x-none"/>
    </w:rPr>
  </w:style>
  <w:style w:type="character" w:customStyle="1" w:styleId="apple-converted-space">
    <w:name w:val="apple-converted-space"/>
    <w:basedOn w:val="DefaultParagraphFont"/>
    <w:rsid w:val="00ED4C41"/>
  </w:style>
  <w:style w:type="character" w:customStyle="1" w:styleId="hps">
    <w:name w:val="hps"/>
    <w:basedOn w:val="DefaultParagraphFont"/>
    <w:rsid w:val="00ED4C41"/>
  </w:style>
  <w:style w:type="character" w:styleId="CommentReference">
    <w:name w:val="annotation reference"/>
    <w:uiPriority w:val="99"/>
    <w:semiHidden/>
    <w:unhideWhenUsed/>
    <w:rsid w:val="00ED4C41"/>
    <w:rPr>
      <w:sz w:val="16"/>
      <w:szCs w:val="16"/>
    </w:rPr>
  </w:style>
  <w:style w:type="paragraph" w:styleId="CommentText">
    <w:name w:val="annotation text"/>
    <w:basedOn w:val="Normal"/>
    <w:link w:val="CommentTextChar"/>
    <w:uiPriority w:val="99"/>
    <w:semiHidden/>
    <w:unhideWhenUsed/>
    <w:rsid w:val="00ED4C41"/>
    <w:rPr>
      <w:sz w:val="20"/>
      <w:szCs w:val="20"/>
    </w:rPr>
  </w:style>
  <w:style w:type="character" w:customStyle="1" w:styleId="CommentTextChar">
    <w:name w:val="Comment Text Char"/>
    <w:basedOn w:val="DefaultParagraphFont"/>
    <w:link w:val="CommentText"/>
    <w:uiPriority w:val="99"/>
    <w:semiHidden/>
    <w:rsid w:val="00ED4C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C41"/>
    <w:rPr>
      <w:b/>
      <w:bCs/>
    </w:rPr>
  </w:style>
  <w:style w:type="character" w:customStyle="1" w:styleId="CommentSubjectChar">
    <w:name w:val="Comment Subject Char"/>
    <w:basedOn w:val="CommentTextChar"/>
    <w:link w:val="CommentSubject"/>
    <w:uiPriority w:val="99"/>
    <w:semiHidden/>
    <w:rsid w:val="00ED4C41"/>
    <w:rPr>
      <w:rFonts w:ascii="Times New Roman" w:eastAsia="Times New Roman" w:hAnsi="Times New Roman" w:cs="Times New Roman"/>
      <w:b/>
      <w:bCs/>
      <w:sz w:val="20"/>
      <w:szCs w:val="20"/>
    </w:rPr>
  </w:style>
  <w:style w:type="paragraph" w:styleId="Revision">
    <w:name w:val="Revision"/>
    <w:hidden/>
    <w:uiPriority w:val="99"/>
    <w:semiHidden/>
    <w:rsid w:val="00ED4C41"/>
    <w:pPr>
      <w:spacing w:after="0" w:line="240" w:lineRule="auto"/>
    </w:pPr>
    <w:rPr>
      <w:rFonts w:ascii="Times New Roman" w:eastAsia="Times New Roman" w:hAnsi="Times New Roman" w:cs="Times New Roman"/>
      <w:sz w:val="24"/>
      <w:szCs w:val="24"/>
    </w:rPr>
  </w:style>
  <w:style w:type="paragraph" w:customStyle="1" w:styleId="doc-ti">
    <w:name w:val="doc-ti"/>
    <w:basedOn w:val="Normal"/>
    <w:rsid w:val="00ED4C41"/>
    <w:pPr>
      <w:spacing w:before="100" w:beforeAutospacing="1" w:after="100" w:afterAutospacing="1"/>
    </w:pPr>
    <w:rPr>
      <w:lang w:val="lv-LV" w:eastAsia="lv-LV"/>
    </w:rPr>
  </w:style>
  <w:style w:type="paragraph" w:customStyle="1" w:styleId="Text1">
    <w:name w:val="Text 1"/>
    <w:basedOn w:val="Normal"/>
    <w:rsid w:val="00ED4C41"/>
    <w:pPr>
      <w:spacing w:before="120" w:after="120"/>
      <w:ind w:left="850"/>
      <w:jc w:val="both"/>
    </w:pPr>
    <w:rPr>
      <w:szCs w:val="20"/>
      <w:lang w:eastAsia="zh-CN"/>
    </w:rPr>
  </w:style>
  <w:style w:type="paragraph" w:customStyle="1" w:styleId="NumPar1">
    <w:name w:val="NumPar 1"/>
    <w:basedOn w:val="Normal"/>
    <w:next w:val="Text1"/>
    <w:rsid w:val="00ED4C41"/>
    <w:pPr>
      <w:tabs>
        <w:tab w:val="num" w:pos="850"/>
      </w:tabs>
      <w:spacing w:before="120" w:after="120"/>
      <w:ind w:left="850" w:hanging="850"/>
      <w:jc w:val="both"/>
    </w:pPr>
    <w:rPr>
      <w:szCs w:val="20"/>
      <w:lang w:eastAsia="zh-CN"/>
    </w:rPr>
  </w:style>
  <w:style w:type="paragraph" w:customStyle="1" w:styleId="Point1">
    <w:name w:val="Point 1"/>
    <w:basedOn w:val="Normal"/>
    <w:rsid w:val="00ED4C41"/>
    <w:pPr>
      <w:spacing w:before="120" w:after="120"/>
      <w:ind w:left="1417" w:hanging="567"/>
      <w:jc w:val="both"/>
    </w:pPr>
    <w:rPr>
      <w:szCs w:val="20"/>
      <w:lang w:eastAsia="zh-CN"/>
    </w:rPr>
  </w:style>
  <w:style w:type="paragraph" w:customStyle="1" w:styleId="NumPar2">
    <w:name w:val="NumPar 2"/>
    <w:basedOn w:val="Normal"/>
    <w:next w:val="Normal"/>
    <w:rsid w:val="00ED4C41"/>
    <w:pPr>
      <w:numPr>
        <w:ilvl w:val="1"/>
      </w:numPr>
      <w:tabs>
        <w:tab w:val="num" w:pos="850"/>
      </w:tabs>
      <w:spacing w:before="120" w:after="120"/>
      <w:ind w:left="850" w:hanging="850"/>
      <w:jc w:val="both"/>
    </w:pPr>
    <w:rPr>
      <w:szCs w:val="20"/>
      <w:lang w:eastAsia="zh-CN"/>
    </w:rPr>
  </w:style>
  <w:style w:type="paragraph" w:customStyle="1" w:styleId="NumPar3">
    <w:name w:val="NumPar 3"/>
    <w:basedOn w:val="Normal"/>
    <w:next w:val="Normal"/>
    <w:rsid w:val="00ED4C41"/>
    <w:pPr>
      <w:numPr>
        <w:ilvl w:val="2"/>
      </w:numPr>
      <w:tabs>
        <w:tab w:val="num" w:pos="850"/>
      </w:tabs>
      <w:spacing w:before="120" w:after="120"/>
      <w:ind w:left="850" w:hanging="850"/>
      <w:jc w:val="both"/>
    </w:pPr>
    <w:rPr>
      <w:szCs w:val="20"/>
      <w:lang w:eastAsia="zh-CN"/>
    </w:rPr>
  </w:style>
  <w:style w:type="paragraph" w:customStyle="1" w:styleId="NumPar4">
    <w:name w:val="NumPar 4"/>
    <w:basedOn w:val="Normal"/>
    <w:next w:val="Normal"/>
    <w:rsid w:val="00ED4C41"/>
    <w:pPr>
      <w:numPr>
        <w:ilvl w:val="3"/>
      </w:numPr>
      <w:tabs>
        <w:tab w:val="num" w:pos="850"/>
      </w:tabs>
      <w:spacing w:before="120" w:after="120"/>
      <w:ind w:left="850" w:hanging="850"/>
      <w:jc w:val="both"/>
    </w:pPr>
    <w:rPr>
      <w:szCs w:val="20"/>
      <w:lang w:eastAsia="zh-CN"/>
    </w:rPr>
  </w:style>
  <w:style w:type="paragraph" w:styleId="ListBullet">
    <w:name w:val="List Bullet"/>
    <w:basedOn w:val="Normal"/>
    <w:autoRedefine/>
    <w:semiHidden/>
    <w:rsid w:val="00ED4C41"/>
    <w:pPr>
      <w:tabs>
        <w:tab w:val="num" w:pos="360"/>
      </w:tabs>
      <w:ind w:left="360" w:hanging="360"/>
    </w:pPr>
  </w:style>
  <w:style w:type="paragraph" w:styleId="ListBullet2">
    <w:name w:val="List Bullet 2"/>
    <w:basedOn w:val="Normal"/>
    <w:autoRedefine/>
    <w:semiHidden/>
    <w:rsid w:val="00ED4C41"/>
    <w:pPr>
      <w:tabs>
        <w:tab w:val="num" w:pos="643"/>
      </w:tabs>
      <w:ind w:left="643" w:hanging="360"/>
    </w:pPr>
  </w:style>
  <w:style w:type="paragraph" w:styleId="ListBullet3">
    <w:name w:val="List Bullet 3"/>
    <w:basedOn w:val="Normal"/>
    <w:autoRedefine/>
    <w:semiHidden/>
    <w:rsid w:val="00ED4C41"/>
    <w:pPr>
      <w:tabs>
        <w:tab w:val="num" w:pos="926"/>
      </w:tabs>
      <w:ind w:left="926" w:hanging="360"/>
    </w:pPr>
  </w:style>
  <w:style w:type="paragraph" w:styleId="ListBullet4">
    <w:name w:val="List Bullet 4"/>
    <w:basedOn w:val="Normal"/>
    <w:autoRedefine/>
    <w:semiHidden/>
    <w:rsid w:val="00ED4C41"/>
    <w:pPr>
      <w:tabs>
        <w:tab w:val="num" w:pos="1209"/>
      </w:tabs>
      <w:ind w:left="1209" w:hanging="360"/>
    </w:pPr>
  </w:style>
  <w:style w:type="paragraph" w:styleId="ListBullet5">
    <w:name w:val="List Bullet 5"/>
    <w:basedOn w:val="Normal"/>
    <w:autoRedefine/>
    <w:semiHidden/>
    <w:rsid w:val="00ED4C41"/>
    <w:pPr>
      <w:tabs>
        <w:tab w:val="num" w:pos="1492"/>
      </w:tabs>
      <w:ind w:left="1492" w:hanging="360"/>
    </w:pPr>
  </w:style>
  <w:style w:type="paragraph" w:styleId="ListNumber">
    <w:name w:val="List Number"/>
    <w:basedOn w:val="Normal"/>
    <w:semiHidden/>
    <w:rsid w:val="00ED4C41"/>
    <w:pPr>
      <w:tabs>
        <w:tab w:val="num" w:pos="360"/>
      </w:tabs>
      <w:ind w:left="360" w:hanging="360"/>
    </w:pPr>
  </w:style>
  <w:style w:type="paragraph" w:styleId="ListNumber2">
    <w:name w:val="List Number 2"/>
    <w:basedOn w:val="Normal"/>
    <w:semiHidden/>
    <w:rsid w:val="00ED4C41"/>
    <w:pPr>
      <w:tabs>
        <w:tab w:val="num" w:pos="643"/>
      </w:tabs>
      <w:ind w:left="643" w:hanging="360"/>
    </w:pPr>
  </w:style>
  <w:style w:type="paragraph" w:styleId="ListNumber3">
    <w:name w:val="List Number 3"/>
    <w:basedOn w:val="Normal"/>
    <w:semiHidden/>
    <w:rsid w:val="00ED4C41"/>
    <w:pPr>
      <w:tabs>
        <w:tab w:val="num" w:pos="926"/>
      </w:tabs>
      <w:ind w:left="926" w:hanging="360"/>
    </w:pPr>
  </w:style>
  <w:style w:type="paragraph" w:styleId="ListNumber4">
    <w:name w:val="List Number 4"/>
    <w:basedOn w:val="Normal"/>
    <w:semiHidden/>
    <w:rsid w:val="00ED4C41"/>
    <w:pPr>
      <w:tabs>
        <w:tab w:val="num" w:pos="1209"/>
      </w:tabs>
      <w:ind w:left="1209" w:hanging="360"/>
    </w:pPr>
  </w:style>
  <w:style w:type="paragraph" w:styleId="ListNumber5">
    <w:name w:val="List Number 5"/>
    <w:basedOn w:val="Normal"/>
    <w:semiHidden/>
    <w:rsid w:val="00ED4C41"/>
    <w:pPr>
      <w:tabs>
        <w:tab w:val="num" w:pos="1492"/>
      </w:tabs>
      <w:ind w:left="1492" w:hanging="360"/>
    </w:pPr>
  </w:style>
  <w:style w:type="paragraph" w:customStyle="1" w:styleId="norm">
    <w:name w:val="norm"/>
    <w:basedOn w:val="Normal"/>
    <w:rsid w:val="00ED4C41"/>
    <w:pPr>
      <w:spacing w:before="100" w:beforeAutospacing="1" w:after="100" w:afterAutospacing="1"/>
    </w:pPr>
    <w:rPr>
      <w:lang w:val="lv-LV" w:eastAsia="lv-LV"/>
    </w:rPr>
  </w:style>
  <w:style w:type="table" w:styleId="TableGrid">
    <w:name w:val="Table Grid"/>
    <w:basedOn w:val="TableNormal"/>
    <w:uiPriority w:val="59"/>
    <w:rsid w:val="00ED4C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2">
    <w:name w:val="Teksts2"/>
    <w:basedOn w:val="Normal"/>
    <w:rsid w:val="00ED4C41"/>
    <w:pPr>
      <w:jc w:val="both"/>
    </w:pPr>
    <w:rPr>
      <w:szCs w:val="20"/>
      <w:lang w:val="lv-LV"/>
    </w:rPr>
  </w:style>
  <w:style w:type="paragraph" w:styleId="List">
    <w:name w:val="List"/>
    <w:basedOn w:val="Normal"/>
    <w:semiHidden/>
    <w:rsid w:val="00ED4C41"/>
    <w:pPr>
      <w:ind w:left="283" w:hanging="283"/>
    </w:pPr>
  </w:style>
  <w:style w:type="paragraph" w:styleId="List2">
    <w:name w:val="List 2"/>
    <w:basedOn w:val="Normal"/>
    <w:semiHidden/>
    <w:rsid w:val="00ED4C41"/>
    <w:pPr>
      <w:ind w:left="566" w:hanging="283"/>
    </w:pPr>
  </w:style>
  <w:style w:type="paragraph" w:customStyle="1" w:styleId="Tiret0">
    <w:name w:val="Tiret 0"/>
    <w:basedOn w:val="Normal"/>
    <w:rsid w:val="00ED4C41"/>
    <w:pPr>
      <w:numPr>
        <w:numId w:val="2"/>
      </w:numPr>
      <w:spacing w:before="120" w:after="120"/>
      <w:jc w:val="both"/>
    </w:pPr>
    <w:rPr>
      <w:szCs w:val="20"/>
      <w:lang w:val="lv-LV" w:eastAsia="zh-CN"/>
    </w:rPr>
  </w:style>
  <w:style w:type="character" w:customStyle="1" w:styleId="boldface">
    <w:name w:val="boldface"/>
    <w:rsid w:val="00ED4C41"/>
  </w:style>
  <w:style w:type="paragraph" w:styleId="ListParagraph">
    <w:name w:val="List Paragraph"/>
    <w:basedOn w:val="Normal"/>
    <w:uiPriority w:val="34"/>
    <w:qFormat/>
    <w:rsid w:val="00ED4C41"/>
    <w:pPr>
      <w:ind w:left="720"/>
      <w:contextualSpacing/>
    </w:pPr>
  </w:style>
  <w:style w:type="paragraph" w:styleId="EndnoteText">
    <w:name w:val="endnote text"/>
    <w:basedOn w:val="Normal"/>
    <w:link w:val="EndnoteTextChar"/>
    <w:uiPriority w:val="99"/>
    <w:semiHidden/>
    <w:unhideWhenUsed/>
    <w:rsid w:val="00ED4C41"/>
    <w:rPr>
      <w:sz w:val="20"/>
      <w:szCs w:val="20"/>
    </w:rPr>
  </w:style>
  <w:style w:type="character" w:customStyle="1" w:styleId="EndnoteTextChar">
    <w:name w:val="Endnote Text Char"/>
    <w:basedOn w:val="DefaultParagraphFont"/>
    <w:link w:val="EndnoteText"/>
    <w:uiPriority w:val="99"/>
    <w:semiHidden/>
    <w:rsid w:val="00ED4C41"/>
    <w:rPr>
      <w:rFonts w:ascii="Times New Roman" w:eastAsia="Times New Roman" w:hAnsi="Times New Roman" w:cs="Times New Roman"/>
      <w:sz w:val="20"/>
      <w:szCs w:val="20"/>
    </w:rPr>
  </w:style>
  <w:style w:type="character" w:styleId="EndnoteReference">
    <w:name w:val="endnote reference"/>
    <w:uiPriority w:val="99"/>
    <w:semiHidden/>
    <w:unhideWhenUsed/>
    <w:rsid w:val="00ED4C41"/>
    <w:rPr>
      <w:vertAlign w:val="superscript"/>
    </w:rPr>
  </w:style>
  <w:style w:type="paragraph" w:customStyle="1" w:styleId="Teksts1">
    <w:name w:val="Teksts1"/>
    <w:basedOn w:val="Normal"/>
    <w:rsid w:val="00ED4C41"/>
    <w:pPr>
      <w:spacing w:after="320"/>
      <w:jc w:val="both"/>
    </w:pPr>
    <w:rPr>
      <w:szCs w:val="20"/>
      <w:lang w:val="lv-LV"/>
    </w:rPr>
  </w:style>
  <w:style w:type="paragraph" w:customStyle="1" w:styleId="CM14">
    <w:name w:val="CM1+4"/>
    <w:basedOn w:val="Normal"/>
    <w:next w:val="Normal"/>
    <w:uiPriority w:val="99"/>
    <w:rsid w:val="00ED4C41"/>
    <w:pPr>
      <w:autoSpaceDE w:val="0"/>
      <w:autoSpaceDN w:val="0"/>
      <w:adjustRightInd w:val="0"/>
    </w:pPr>
    <w:rPr>
      <w:rFonts w:ascii="EUAlbertina" w:hAnsi="EUAlbertina"/>
      <w:lang w:val="lv-LV" w:eastAsia="lv-LV"/>
    </w:rPr>
  </w:style>
  <w:style w:type="paragraph" w:customStyle="1" w:styleId="CM34">
    <w:name w:val="CM3+4"/>
    <w:basedOn w:val="Normal"/>
    <w:next w:val="Normal"/>
    <w:uiPriority w:val="99"/>
    <w:rsid w:val="00ED4C41"/>
    <w:pPr>
      <w:autoSpaceDE w:val="0"/>
      <w:autoSpaceDN w:val="0"/>
      <w:adjustRightInd w:val="0"/>
    </w:pPr>
    <w:rPr>
      <w:rFonts w:ascii="EUAlbertina" w:hAnsi="EUAlbertina"/>
      <w:lang w:val="lv-LV" w:eastAsia="lv-LV"/>
    </w:rPr>
  </w:style>
  <w:style w:type="paragraph" w:customStyle="1" w:styleId="normal2">
    <w:name w:val="normal2"/>
    <w:basedOn w:val="Normal"/>
    <w:rsid w:val="00ED4C41"/>
    <w:pPr>
      <w:spacing w:before="120" w:line="312" w:lineRule="atLeast"/>
      <w:jc w:val="both"/>
    </w:pPr>
    <w:rPr>
      <w:lang w:val="lv-LV" w:eastAsia="lv-LV"/>
    </w:rPr>
  </w:style>
  <w:style w:type="character" w:customStyle="1" w:styleId="italic1">
    <w:name w:val="italic1"/>
    <w:rsid w:val="00ED4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8479</Words>
  <Characters>48331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2021-01-11T09:07:00Z</dcterms:created>
  <dcterms:modified xsi:type="dcterms:W3CDTF">2021-01-11T09:07:00Z</dcterms:modified>
</cp:coreProperties>
</file>