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EC" w:rsidRPr="007E7E76" w:rsidRDefault="00351FEC" w:rsidP="00351FEC">
      <w:pPr>
        <w:spacing w:before="130" w:after="0" w:line="260" w:lineRule="exact"/>
        <w:ind w:firstLine="539"/>
        <w:jc w:val="right"/>
        <w:rPr>
          <w:rFonts w:ascii="Cambria" w:eastAsia="Times New Roman" w:hAnsi="Cambria"/>
          <w:noProof/>
          <w:sz w:val="19"/>
          <w:szCs w:val="24"/>
          <w:lang w:eastAsia="lv-LV"/>
        </w:rPr>
      </w:pPr>
      <w:r w:rsidRPr="007E7E76">
        <w:rPr>
          <w:rFonts w:ascii="Cambria" w:eastAsia="Times New Roman" w:hAnsi="Cambria"/>
          <w:noProof/>
          <w:sz w:val="19"/>
          <w:szCs w:val="24"/>
          <w:lang w:eastAsia="lv-LV"/>
        </w:rPr>
        <w:t>8. pielikums</w:t>
      </w:r>
      <w:r w:rsidRPr="007E7E76">
        <w:rPr>
          <w:rFonts w:ascii="Cambria" w:eastAsia="Times New Roman" w:hAnsi="Cambria"/>
          <w:noProof/>
          <w:sz w:val="19"/>
          <w:szCs w:val="24"/>
          <w:lang w:eastAsia="lv-LV"/>
        </w:rPr>
        <w:br/>
        <w:t>Finan</w:t>
      </w:r>
      <w:r>
        <w:rPr>
          <w:rFonts w:ascii="Cambria" w:eastAsia="Times New Roman" w:hAnsi="Cambria"/>
          <w:noProof/>
          <w:sz w:val="19"/>
          <w:szCs w:val="24"/>
          <w:lang w:eastAsia="lv-LV"/>
        </w:rPr>
        <w:t>šu un kapitāla tirgus komisijas</w:t>
      </w:r>
      <w:r>
        <w:rPr>
          <w:rFonts w:ascii="Cambria" w:eastAsia="Times New Roman" w:hAnsi="Cambria"/>
          <w:noProof/>
          <w:sz w:val="19"/>
          <w:szCs w:val="24"/>
          <w:lang w:eastAsia="lv-LV"/>
        </w:rPr>
        <w:br/>
      </w:r>
      <w:r w:rsidRPr="007E7E76">
        <w:rPr>
          <w:rFonts w:ascii="Cambria" w:eastAsia="Times New Roman" w:hAnsi="Cambria"/>
          <w:noProof/>
          <w:sz w:val="19"/>
          <w:szCs w:val="24"/>
          <w:lang w:eastAsia="lv-LV"/>
        </w:rPr>
        <w:t>27.10.2020. normatīvajiem noteikumiem Nr. 200</w:t>
      </w:r>
      <w:bookmarkStart w:id="0" w:name="piel-543921"/>
      <w:bookmarkEnd w:id="0"/>
    </w:p>
    <w:p w:rsidR="00351FEC" w:rsidRPr="00F12E33" w:rsidRDefault="00351FEC" w:rsidP="00351FEC">
      <w:pPr>
        <w:spacing w:before="360" w:after="0" w:line="240" w:lineRule="auto"/>
        <w:ind w:left="567" w:right="567"/>
        <w:jc w:val="center"/>
        <w:rPr>
          <w:rFonts w:ascii="Cambria" w:eastAsia="Times New Roman" w:hAnsi="Cambria"/>
          <w:b/>
          <w:bCs/>
          <w:noProof/>
          <w:szCs w:val="24"/>
          <w:lang w:eastAsia="lv-LV"/>
        </w:rPr>
      </w:pPr>
      <w:bookmarkStart w:id="1" w:name="543923"/>
      <w:bookmarkStart w:id="2" w:name="n-543923"/>
      <w:bookmarkEnd w:id="1"/>
      <w:bookmarkEnd w:id="2"/>
      <w:r w:rsidRPr="00F12E33">
        <w:rPr>
          <w:rFonts w:ascii="Cambria" w:eastAsia="Times New Roman" w:hAnsi="Cambria"/>
          <w:b/>
          <w:bCs/>
          <w:noProof/>
          <w:szCs w:val="24"/>
          <w:lang w:eastAsia="lv-LV"/>
        </w:rPr>
        <w:t>PERSONAS DATU AIZSARDZĪBA</w:t>
      </w:r>
      <w:r w:rsidRPr="00F12E33">
        <w:rPr>
          <w:rFonts w:ascii="Cambria" w:eastAsia="Times New Roman" w:hAnsi="Cambria"/>
          <w:b/>
          <w:bCs/>
          <w:noProof/>
          <w:szCs w:val="24"/>
          <w:lang w:eastAsia="lv-LV"/>
        </w:rPr>
        <w:br/>
      </w:r>
    </w:p>
    <w:p w:rsidR="00351FEC" w:rsidRPr="007E7E76" w:rsidRDefault="00351FEC" w:rsidP="00351FEC">
      <w:pPr>
        <w:spacing w:before="130" w:after="0" w:line="260" w:lineRule="exact"/>
        <w:jc w:val="center"/>
        <w:rPr>
          <w:rFonts w:ascii="Cambria" w:eastAsia="Times New Roman" w:hAnsi="Cambria"/>
          <w:b/>
          <w:bCs/>
          <w:noProof/>
          <w:sz w:val="19"/>
          <w:szCs w:val="24"/>
          <w:lang w:eastAsia="lv-LV"/>
        </w:rPr>
      </w:pPr>
      <w:r w:rsidRPr="007E7E76">
        <w:rPr>
          <w:rFonts w:ascii="Cambria" w:eastAsia="Times New Roman" w:hAnsi="Cambria"/>
          <w:b/>
          <w:bCs/>
          <w:noProof/>
          <w:sz w:val="19"/>
          <w:szCs w:val="24"/>
          <w:lang w:eastAsia="lv-LV"/>
        </w:rPr>
        <w:t>NOZĪMĪGO UZRAUDZĪTO IESTĀŽU TIESĪBAS VEIKT UZŅĒMĒJDARBĪBU NEIESAISTĪTĀS DALĪBVALSTS TERITORIJĀ</w:t>
      </w:r>
    </w:p>
    <w:p w:rsidR="00351FEC" w:rsidRPr="007E7E76" w:rsidRDefault="00351FEC" w:rsidP="00351FEC">
      <w:pPr>
        <w:spacing w:before="130" w:after="0" w:line="260" w:lineRule="exact"/>
        <w:ind w:firstLine="539"/>
        <w:jc w:val="center"/>
        <w:rPr>
          <w:rFonts w:ascii="Cambria" w:eastAsia="Times New Roman" w:hAnsi="Cambria"/>
          <w:b/>
          <w:bCs/>
          <w:noProof/>
          <w:sz w:val="19"/>
          <w:szCs w:val="24"/>
          <w:lang w:eastAsia="lv-LV"/>
        </w:rPr>
      </w:pP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PERSONAS DATU APSTRĀDES MĒRĶIS UN TIESISKAIS PAMATS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 xml:space="preserve">Kredītiestādēm, kas nodibinātas iesaistītajās dalībvalstīs, ir tiesības veikt uzņēmējdarbību un sniegt pakalpojumus neiesaistītās dalībvalsts teritorijā. </w:t>
      </w:r>
      <w:r w:rsidRPr="007E7E76">
        <w:rPr>
          <w:rFonts w:ascii="Cambria" w:eastAsia="Times New Roman" w:hAnsi="Cambria"/>
          <w:bCs/>
          <w:noProof/>
          <w:sz w:val="19"/>
          <w:szCs w:val="24"/>
          <w:bdr w:val="none" w:sz="0" w:space="0" w:color="auto" w:frame="1"/>
          <w:lang w:eastAsia="lv-LV"/>
        </w:rPr>
        <w:t>VUM Regula</w:t>
      </w:r>
      <w:r w:rsidRPr="007E7E76">
        <w:rPr>
          <w:rFonts w:ascii="Cambria" w:eastAsia="Times New Roman" w:hAnsi="Cambria"/>
          <w:noProof/>
          <w:sz w:val="19"/>
          <w:szCs w:val="24"/>
          <w:vertAlign w:val="superscript"/>
          <w:lang w:eastAsia="lv-LV"/>
        </w:rPr>
        <w:t>1</w:t>
      </w:r>
      <w:r w:rsidRPr="007E7E76">
        <w:rPr>
          <w:rFonts w:ascii="Cambria" w:eastAsia="Times New Roman" w:hAnsi="Cambria"/>
          <w:noProof/>
          <w:sz w:val="19"/>
          <w:szCs w:val="24"/>
          <w:lang w:eastAsia="lv-LV"/>
        </w:rPr>
        <w:t> Eiropas Centrālajai bankai (ECB) uztic īpašus uzdevumus saistībā ar politikas nostādnēm, kas attiecas uz kredītiestāžu prudenciālo uzraudzību, pamatojoties uz Līguma par Eiropas Savienības darbību 127. panta 6. punktu.</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Prudenciālās uzraudzības nolūkā ECB ir uzticēti uzdevumi attiecībā uz iesaistītajās dalībvalstīs dibinātajām kredītiestādēm, kas minētas VUM Regulas 4. pantā, VUM Regulas 6. panta ietvaros.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Saskaņā ar VUM Regulas 4. panta 1. punkta b) apakšpunktu ECB ir tiesīga veikt uzdevumus, kurus veic mītnes dalībvalsts kompetentā iestāde saskaņā ar Savienības tiesību aktiem attiecībā uz kredītiestādēm, kuras dibinātas iesaistītajā dalībvalstī un kuras vēlas atvērt filiāli neiesaistītajā dalībvalstī. Mītnes dalībvalsts pilnvaras attiecībā uz kredītiestādes tiesībām veikt uzņēmējdarbību ir izklāstītas </w:t>
      </w:r>
      <w:r w:rsidRPr="007E7E76">
        <w:rPr>
          <w:rFonts w:ascii="Cambria" w:eastAsia="Times New Roman" w:hAnsi="Cambria"/>
          <w:bCs/>
          <w:noProof/>
          <w:sz w:val="19"/>
          <w:szCs w:val="24"/>
          <w:bdr w:val="none" w:sz="0" w:space="0" w:color="auto" w:frame="1"/>
          <w:lang w:eastAsia="lv-LV"/>
        </w:rPr>
        <w:t>KPD IV</w:t>
      </w:r>
      <w:r w:rsidRPr="007E7E76">
        <w:rPr>
          <w:rFonts w:ascii="Cambria" w:eastAsia="Times New Roman" w:hAnsi="Cambria"/>
          <w:noProof/>
          <w:sz w:val="19"/>
          <w:szCs w:val="24"/>
          <w:vertAlign w:val="superscript"/>
          <w:lang w:eastAsia="lv-LV"/>
        </w:rPr>
        <w:t>2</w:t>
      </w:r>
      <w:r w:rsidRPr="007E7E76">
        <w:rPr>
          <w:rFonts w:ascii="Cambria" w:eastAsia="Times New Roman" w:hAnsi="Cambria"/>
          <w:noProof/>
          <w:sz w:val="19"/>
          <w:szCs w:val="24"/>
          <w:lang w:eastAsia="lv-LV"/>
        </w:rPr>
        <w:t> 35. pantā, un tajās iekļauta arī administratīvās struktūras atbilstības vērtēšana. Saistībā ar to nozīmīgajai uzraudzītajai iestādei ir jāsniedz informācija par personām, kas ir atbildīgas par filiāles vadību. Procedūras, kas jāievēro nacionālajām kompetentajām iestādēm (NKI) un ECB attiecībā uz nozīmīgo uzraudzīto iestāžu tiesībām veikt uzņēmējdarbību neiesaistītajās dalībvalstīs, ir izklāstītas </w:t>
      </w:r>
      <w:r w:rsidRPr="007E7E76">
        <w:rPr>
          <w:rFonts w:ascii="Cambria" w:eastAsia="Times New Roman" w:hAnsi="Cambria"/>
          <w:bCs/>
          <w:noProof/>
          <w:sz w:val="19"/>
          <w:szCs w:val="24"/>
          <w:bdr w:val="none" w:sz="0" w:space="0" w:color="auto" w:frame="1"/>
          <w:lang w:eastAsia="lv-LV"/>
        </w:rPr>
        <w:t>VUM Pamatregulas</w:t>
      </w:r>
      <w:r w:rsidRPr="007E7E76">
        <w:rPr>
          <w:rFonts w:ascii="Cambria" w:eastAsia="Times New Roman" w:hAnsi="Cambria"/>
          <w:noProof/>
          <w:sz w:val="19"/>
          <w:szCs w:val="24"/>
          <w:vertAlign w:val="superscript"/>
          <w:lang w:eastAsia="lv-LV"/>
        </w:rPr>
        <w:t>3</w:t>
      </w:r>
      <w:r w:rsidRPr="007E7E76">
        <w:rPr>
          <w:rFonts w:ascii="Cambria" w:eastAsia="Times New Roman" w:hAnsi="Cambria"/>
          <w:noProof/>
          <w:sz w:val="19"/>
          <w:szCs w:val="24"/>
          <w:lang w:eastAsia="lv-LV"/>
        </w:rPr>
        <w:t> 17. panta 1. punktā.</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PERSONAS DATU IZMANTOŠANA</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Visi nepieciešamie personas dati, kas jāuzrāda Komisijas Īstenošanas regulas (ES) Nr. 926/2014 (2014. gada 27. augusts) veidlapās, ir nepieciešami, lai varētu novērtēt to personu piemērotību, kas izvirzītas uzņemties atbildību par neiesaistītās dalībvalsts teritorijā dibinātas nozīmīgās uzraudzītās iestādes filiāles vadību vai galvenajām funkcijām. Ja dati netiek iesniegti, paziņojumu uzskata par nepilnīgi aizpildītu un uz to attiecas Komisijas Īstenošanas regulas Nr. 926/2014 5. panta 2. un 3. punkts: nozīmīgā iestāde ir jāinformē par paziņojuma nepilnībām, un trīs mēnešus ilgais vērtēšanas periods tiek uzsākts tikai pēc tam, kad tiek saņemts paziņojums, kurā iekļauta pilnīga informācija.</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PERSONAS DATU SAŅĒMĒJI VAI SAŅĒMĒJU GRUPAS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Personas dati, kas sniegti saistībā ar nozīmīgo uzraudzīto iestāžu tiesībām veikt uzņēmējdarbību citas neiesaistītās dalībvalsts teritorijā, tiek izpausti personām, kurām nepieciešams tos zināt (</w:t>
      </w:r>
      <w:r w:rsidRPr="007E7E76">
        <w:rPr>
          <w:rFonts w:ascii="Cambria" w:eastAsia="Times New Roman" w:hAnsi="Cambria"/>
          <w:i/>
          <w:iCs/>
          <w:noProof/>
          <w:sz w:val="19"/>
          <w:szCs w:val="24"/>
          <w:lang w:eastAsia="lv-LV"/>
        </w:rPr>
        <w:t>on a need-to-know basis</w:t>
      </w:r>
      <w:r w:rsidRPr="007E7E76">
        <w:rPr>
          <w:rFonts w:ascii="Cambria" w:eastAsia="Times New Roman" w:hAnsi="Cambria"/>
          <w:noProof/>
          <w:sz w:val="19"/>
          <w:szCs w:val="24"/>
          <w:lang w:eastAsia="lv-LV"/>
        </w:rPr>
        <w:t>), NKI darbiniekiem, Vienotās uzraudzības komandu </w:t>
      </w:r>
      <w:r w:rsidRPr="007E7E76">
        <w:rPr>
          <w:rFonts w:ascii="Cambria" w:eastAsia="Times New Roman" w:hAnsi="Cambria"/>
          <w:i/>
          <w:iCs/>
          <w:noProof/>
          <w:sz w:val="19"/>
          <w:szCs w:val="24"/>
          <w:lang w:eastAsia="lv-LV"/>
        </w:rPr>
        <w:t>(Joint Supervisory Teams</w:t>
      </w:r>
      <w:r w:rsidRPr="007E7E76">
        <w:rPr>
          <w:rFonts w:ascii="Cambria" w:eastAsia="Times New Roman" w:hAnsi="Cambria"/>
          <w:noProof/>
          <w:sz w:val="19"/>
          <w:szCs w:val="24"/>
          <w:lang w:eastAsia="lv-LV"/>
        </w:rPr>
        <w:t>) dalībniekiem vai citiem ECB darbiniekiem, kam tas nepieciešams pienākumu pildīšanai, ECB Uzraudzības valdes sekretariātam un Uzraudzības valdes locekļiem, kā arī ECB padomes locekļiem.</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PIEMĒROJAMAIS GLABĀŠANAS PERIODS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 xml:space="preserve">ECB jāglabā personas dati, kas sniegti nozīmīgo uzraudzīto iestāžu pieteikumos vai paziņojumos par tiesībām veikt uzņēmējdarbību neiesaistītās dalībvalsts teritorijā, 15 gadus no pieteikuma vai paziņojuma </w:t>
      </w:r>
      <w:r w:rsidRPr="007E7E76">
        <w:rPr>
          <w:rFonts w:ascii="Cambria" w:eastAsia="Times New Roman" w:hAnsi="Cambria"/>
          <w:noProof/>
          <w:sz w:val="19"/>
          <w:szCs w:val="24"/>
          <w:lang w:eastAsia="lv-LV"/>
        </w:rPr>
        <w:lastRenderedPageBreak/>
        <w:t>dienas, ja tas tiek atsaukts pirms oficiāla lēmuma pieņemšanas, no dienas, kad pieņemts negatīvs lēmums, vai no dienas, kad datu subjekti pārtrauc darbību filiāles pārvaldes struktūrā kā vadītāji vai galveno funkciju pildītāji, pozitīva ECB lēmuma gadījumā. Ja tiek ierosināta administratīvā lieta vai uzsākta tiesvedība, glabāšanas periodu pagarina un tas beidzas vienu gadu pēc tāda lēmuma par sankciju piemērošanu stāšanās spēkā, kam ir galīga lēmuma spēks. Finanšu un kapitāla tirgus komisija (FKTK) glabā personas datus, kas sniegti atļaujas pieteikumos, 10 gadus pēc tirgus dalībnieka statusa maiņas.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PIEMĒROJAMĀ DATU AIZSARDZĪBA UN DATU pārzinis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 xml:space="preserve">Eiropas Parlamenta un Padomes 2018. gada 23. oktobra  Regula (EK) Nr. 2018/1725 par fizisku personu aizsardzību attiecībā uz personas datu apstrādi Savienības iestādēs, struktūrās, birojos un aģentūrās un par šādu datu brīvu apriti un ar ko atceļ Regulu (EK) Nr. 45/2001 un Lēmumu Nr.1247/2002/EK ir piemērojama personas datu apstrādē, ko veic ECB. </w:t>
      </w:r>
      <w:r w:rsidRPr="007E7E76">
        <w:rPr>
          <w:rFonts w:ascii="Cambria" w:hAnsi="Cambria"/>
          <w:noProof/>
          <w:sz w:val="19"/>
          <w:szCs w:val="24"/>
        </w:rPr>
        <w:t xml:space="preserve">Eiropas Parlamenta un Padomes Regula (EK) Nr. 2016/679 (2016. gada 27. aprīlis) par fizisku personu aizsardzību attiecībā uz personas datu apstrādi un šādu datu brīvu apriti un ar ko atceļ Direktīvu 95/46/EK (Vispārīgā datu aizsardzības regula) ir piemērojama personas datu apstrādē, ko veic FKTK. </w:t>
      </w:r>
      <w:r w:rsidRPr="007E7E76">
        <w:rPr>
          <w:rFonts w:ascii="Cambria" w:eastAsia="Times New Roman" w:hAnsi="Cambria"/>
          <w:noProof/>
          <w:sz w:val="19"/>
          <w:szCs w:val="24"/>
          <w:lang w:eastAsia="lv-LV"/>
        </w:rPr>
        <w:t>Regulas (EK) Nr. 2018/1725 un Nr. 2016/679 izpratnē ECB un FKTK ir kopīgi pārziņi.</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DATU SUBJEKTA TIESĪBAS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Datu subjektam, kura personas datus minētās prudenciālās uzraudzības nolūkā apstrādā ECB un FKTK, ir tiesības piekļūt datiem, kas uz viņu attiecas, un tiesības tos labot.</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KONTAKTI</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Ja Jums rodas jautājumi vai sūdzības par datu apstrādes procesu, Jūs varat vērsties ECB (authorisation@ecb.europa.eu) vai NKI (fktk@fktk.lv).</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Turklāt Jums ir tiesības jebkurā laikā vērsties pēc palīdzības pie Eiropas datu aizsardzības uzrauga (</w:t>
      </w:r>
      <w:r w:rsidRPr="007E7E76">
        <w:rPr>
          <w:rFonts w:ascii="Cambria" w:eastAsia="Times New Roman" w:hAnsi="Cambria"/>
          <w:i/>
          <w:iCs/>
          <w:noProof/>
          <w:sz w:val="19"/>
          <w:szCs w:val="24"/>
          <w:lang w:eastAsia="lv-LV"/>
        </w:rPr>
        <w:t>European Data Protection Supervisor</w:t>
      </w:r>
      <w:r w:rsidRPr="007E7E76">
        <w:rPr>
          <w:rFonts w:ascii="Cambria" w:eastAsia="Times New Roman" w:hAnsi="Cambria"/>
          <w:noProof/>
          <w:sz w:val="19"/>
          <w:szCs w:val="24"/>
          <w:lang w:eastAsia="lv-LV"/>
        </w:rPr>
        <w:t xml:space="preserve">) vai Datu valsts inspekcijā. </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b/>
          <w:bCs/>
          <w:caps/>
          <w:noProof/>
          <w:sz w:val="19"/>
          <w:szCs w:val="24"/>
          <w:bdr w:val="none" w:sz="0" w:space="0" w:color="auto" w:frame="1"/>
          <w:lang w:eastAsia="lv-LV"/>
        </w:rPr>
        <w:t>APLIECINĀJUMS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 xml:space="preserve">Ar šo apliecinu, ka esmu informēts, ka, pamatojoties uz normatīvo aktu prasībām (piemēram, Kredītiestāžu likuma </w:t>
      </w:r>
      <w:r w:rsidRPr="007E7E76">
        <w:rPr>
          <w:rFonts w:ascii="Cambria" w:hAnsi="Cambria"/>
          <w:bCs/>
          <w:noProof/>
          <w:sz w:val="19"/>
          <w:szCs w:val="24"/>
          <w:shd w:val="clear" w:color="auto" w:fill="FFFFFF"/>
        </w:rPr>
        <w:t>12.</w:t>
      </w:r>
      <w:r w:rsidRPr="007E7E76">
        <w:rPr>
          <w:rFonts w:ascii="Cambria" w:hAnsi="Cambria"/>
          <w:bCs/>
          <w:noProof/>
          <w:sz w:val="19"/>
          <w:szCs w:val="24"/>
          <w:shd w:val="clear" w:color="auto" w:fill="FFFFFF"/>
          <w:vertAlign w:val="superscript"/>
        </w:rPr>
        <w:t>2</w:t>
      </w:r>
      <w:r w:rsidRPr="007E7E76">
        <w:rPr>
          <w:rFonts w:ascii="Cambria" w:eastAsia="Times New Roman" w:hAnsi="Cambria"/>
          <w:noProof/>
          <w:sz w:val="19"/>
          <w:szCs w:val="24"/>
          <w:lang w:eastAsia="lv-LV"/>
        </w:rPr>
        <w:t xml:space="preserve"> pantu, 57. panta 1.</w:t>
      </w:r>
      <w:r w:rsidRPr="007E7E76">
        <w:rPr>
          <w:rFonts w:ascii="Cambria" w:eastAsia="Times New Roman" w:hAnsi="Cambria"/>
          <w:noProof/>
          <w:sz w:val="19"/>
          <w:szCs w:val="24"/>
          <w:vertAlign w:val="superscript"/>
          <w:lang w:eastAsia="lv-LV"/>
        </w:rPr>
        <w:t>1</w:t>
      </w:r>
      <w:r w:rsidRPr="007E7E76">
        <w:rPr>
          <w:rFonts w:ascii="Cambria" w:eastAsia="Times New Roman" w:hAnsi="Cambria"/>
          <w:noProof/>
          <w:sz w:val="19"/>
          <w:szCs w:val="24"/>
          <w:lang w:eastAsia="lv-LV"/>
        </w:rPr>
        <w:t xml:space="preserve"> daļu, VUM Regulas 4.</w:t>
      </w:r>
      <w:r w:rsidRPr="007E7E76" w:rsidDel="00544E44">
        <w:rPr>
          <w:rFonts w:ascii="Cambria" w:eastAsia="Times New Roman" w:hAnsi="Cambria"/>
          <w:noProof/>
          <w:sz w:val="19"/>
          <w:szCs w:val="24"/>
          <w:lang w:eastAsia="lv-LV"/>
        </w:rPr>
        <w:t xml:space="preserve"> </w:t>
      </w:r>
      <w:r w:rsidRPr="007E7E76">
        <w:rPr>
          <w:rFonts w:ascii="Cambria" w:eastAsia="Times New Roman" w:hAnsi="Cambria"/>
          <w:noProof/>
          <w:sz w:val="19"/>
          <w:szCs w:val="24"/>
          <w:lang w:eastAsia="lv-LV"/>
        </w:rPr>
        <w:t>pantu), FKTK savas kompetences ietvaros saņem un apstrādā FKTK iesniegtos manus kā fiziskās personas datus, tai skaitā sensitīvus personas datus. Esmu informēts, ka mani personas dati tiek nodoti ECB tās funkciju veikšanai, kā arī ECB nodod manus personas datus FKTK.</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Vārds, uzvārds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Paraksts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t>Vieta, datums</w:t>
      </w:r>
    </w:p>
    <w:p w:rsidR="00351FEC" w:rsidRPr="007E7E76" w:rsidRDefault="00351FEC" w:rsidP="00351FEC">
      <w:pPr>
        <w:spacing w:before="130" w:after="0" w:line="260" w:lineRule="exact"/>
        <w:ind w:firstLine="539"/>
        <w:jc w:val="both"/>
        <w:rPr>
          <w:rFonts w:ascii="Cambria" w:eastAsia="Times New Roman" w:hAnsi="Cambria"/>
          <w:noProof/>
          <w:sz w:val="19"/>
          <w:szCs w:val="24"/>
          <w:lang w:eastAsia="lv-LV"/>
        </w:rPr>
      </w:pPr>
      <w:r w:rsidRPr="007E7E76">
        <w:rPr>
          <w:rFonts w:ascii="Cambria" w:eastAsia="Times New Roman" w:hAnsi="Cambria"/>
          <w:noProof/>
          <w:sz w:val="19"/>
          <w:szCs w:val="24"/>
          <w:lang w:eastAsia="lv-LV"/>
        </w:rPr>
        <w:pict>
          <v:rect id="_x0000_i1025" style="width:149.5pt;height:.5pt" o:hrpct="360" o:hrstd="t" o:hrnoshade="t" o:hr="t" fillcolor="black" stroked="f"/>
        </w:pict>
      </w:r>
    </w:p>
    <w:p w:rsidR="00351FEC" w:rsidRPr="00416CA6" w:rsidRDefault="00351FEC" w:rsidP="00351FEC">
      <w:pPr>
        <w:spacing w:before="130" w:after="0" w:line="260" w:lineRule="exact"/>
        <w:ind w:firstLine="539"/>
        <w:jc w:val="both"/>
        <w:rPr>
          <w:rFonts w:ascii="Cambria" w:eastAsia="Times New Roman" w:hAnsi="Cambria"/>
          <w:noProof/>
          <w:sz w:val="17"/>
          <w:szCs w:val="17"/>
          <w:lang w:eastAsia="lv-LV"/>
        </w:rPr>
      </w:pPr>
      <w:r w:rsidRPr="00416CA6">
        <w:rPr>
          <w:rFonts w:ascii="Cambria" w:eastAsia="Times New Roman" w:hAnsi="Cambria"/>
          <w:noProof/>
          <w:sz w:val="17"/>
          <w:szCs w:val="17"/>
          <w:vertAlign w:val="superscript"/>
          <w:lang w:eastAsia="lv-LV"/>
        </w:rPr>
        <w:t>1</w:t>
      </w:r>
      <w:r w:rsidRPr="00416CA6">
        <w:rPr>
          <w:rFonts w:ascii="Cambria" w:eastAsia="Times New Roman" w:hAnsi="Cambria"/>
          <w:noProof/>
          <w:sz w:val="17"/>
          <w:szCs w:val="17"/>
          <w:lang w:eastAsia="lv-LV"/>
        </w:rPr>
        <w:t> Padomes 2013. gada 15. oktobra Regula (ES) Nr. 1024/2013, ar ko Eiropas Centrālajai bankai uztic īpašus uzdevumus saistībā ar politikas nostādnēm, kas attiecas uz kredītiestāžu prudenciālo uzraudzību, OJ L 175, 14.06.2014.</w:t>
      </w:r>
    </w:p>
    <w:p w:rsidR="00351FEC" w:rsidRPr="00416CA6" w:rsidRDefault="00351FEC" w:rsidP="00351FEC">
      <w:pPr>
        <w:spacing w:before="130" w:after="0" w:line="260" w:lineRule="exact"/>
        <w:ind w:firstLine="539"/>
        <w:jc w:val="both"/>
        <w:rPr>
          <w:rFonts w:ascii="Cambria" w:eastAsia="Times New Roman" w:hAnsi="Cambria"/>
          <w:noProof/>
          <w:sz w:val="17"/>
          <w:szCs w:val="17"/>
          <w:lang w:eastAsia="lv-LV"/>
        </w:rPr>
      </w:pPr>
      <w:r w:rsidRPr="00416CA6">
        <w:rPr>
          <w:rFonts w:ascii="Cambria" w:eastAsia="Times New Roman" w:hAnsi="Cambria"/>
          <w:noProof/>
          <w:sz w:val="17"/>
          <w:szCs w:val="17"/>
          <w:vertAlign w:val="superscript"/>
          <w:lang w:eastAsia="lv-LV"/>
        </w:rPr>
        <w:t>2</w:t>
      </w:r>
      <w:r w:rsidRPr="00416CA6">
        <w:rPr>
          <w:rFonts w:ascii="Cambria" w:eastAsia="Times New Roman" w:hAnsi="Cambria"/>
          <w:noProof/>
          <w:sz w:val="17"/>
          <w:szCs w:val="17"/>
          <w:lang w:eastAsia="lv-LV"/>
        </w:rPr>
        <w:t> Eiropas Parlamenta un Padomes Direktīva Nr. 2013/36/ES (2013. gada 26. jūnijs) par piekļuvi kredītiestāžu darbībai un kredītiestāžu un ieguldījumu brokeru sabiedrību prudenciālo uzraudzību, ar ko groza Direktīvu 2002/87/EK un atceļ Direktīvas 2006/48/EK un 2006/49/EK, OJ L 176, 27.06.2013.</w:t>
      </w:r>
    </w:p>
    <w:p w:rsidR="00351FEC" w:rsidRPr="00416CA6" w:rsidRDefault="00351FEC" w:rsidP="00351FEC">
      <w:pPr>
        <w:spacing w:before="130" w:after="0" w:line="260" w:lineRule="exact"/>
        <w:ind w:firstLine="539"/>
        <w:jc w:val="both"/>
        <w:rPr>
          <w:rFonts w:ascii="Cambria" w:eastAsia="Times New Roman" w:hAnsi="Cambria"/>
          <w:noProof/>
          <w:sz w:val="17"/>
          <w:szCs w:val="17"/>
          <w:lang w:eastAsia="lv-LV"/>
        </w:rPr>
      </w:pPr>
      <w:r w:rsidRPr="00416CA6">
        <w:rPr>
          <w:rFonts w:ascii="Cambria" w:eastAsia="Times New Roman" w:hAnsi="Cambria"/>
          <w:noProof/>
          <w:sz w:val="17"/>
          <w:szCs w:val="17"/>
          <w:vertAlign w:val="superscript"/>
          <w:lang w:eastAsia="lv-LV"/>
        </w:rPr>
        <w:lastRenderedPageBreak/>
        <w:t>3</w:t>
      </w:r>
      <w:r w:rsidRPr="00416CA6">
        <w:rPr>
          <w:rFonts w:ascii="Cambria" w:eastAsia="Times New Roman" w:hAnsi="Cambria"/>
          <w:noProof/>
          <w:sz w:val="17"/>
          <w:szCs w:val="17"/>
          <w:lang w:eastAsia="lv-LV"/>
        </w:rPr>
        <w:t> Eiropas Centrālās bankas Regula (ES) Nr. 468/2014 (2014. gada 16. aprīlis), ar ko izveido vienotā uzraudzības mehānisma pamatstruktūru Eiropas Centrālās bankas sadarbībai ar nacionālajām kompetentajām un norīkotajām iestādēm, OJ L 141, 14.05.2014.</w:t>
      </w:r>
    </w:p>
    <w:p w:rsidR="00A20ADF" w:rsidRDefault="00A20ADF">
      <w:bookmarkStart w:id="3" w:name="_GoBack"/>
      <w:bookmarkEnd w:id="3"/>
    </w:p>
    <w:sectPr w:rsidR="00A20A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EC"/>
    <w:rsid w:val="00351FEC"/>
    <w:rsid w:val="00A2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EC"/>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EC"/>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2020-11-04T09:28:00Z</dcterms:created>
  <dcterms:modified xsi:type="dcterms:W3CDTF">2020-11-04T09:28:00Z</dcterms:modified>
</cp:coreProperties>
</file>