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8E" w:rsidRPr="00E71AC9" w:rsidRDefault="0002558E" w:rsidP="0002558E">
      <w:pPr>
        <w:spacing w:before="130" w:after="0" w:line="260" w:lineRule="exact"/>
        <w:jc w:val="right"/>
        <w:rPr>
          <w:rFonts w:ascii="Cambria" w:hAnsi="Cambria"/>
          <w:noProof/>
          <w:sz w:val="19"/>
          <w:szCs w:val="19"/>
          <w:lang w:val="lv-LV"/>
        </w:rPr>
      </w:pPr>
      <w:r w:rsidRPr="00E71AC9">
        <w:rPr>
          <w:rFonts w:ascii="Cambria" w:hAnsi="Cambria"/>
          <w:noProof/>
          <w:sz w:val="19"/>
          <w:szCs w:val="19"/>
          <w:lang w:val="lv-LV"/>
        </w:rPr>
        <w:t>12. pielikums</w:t>
      </w:r>
      <w:r w:rsidRPr="00E71AC9">
        <w:rPr>
          <w:rFonts w:ascii="Cambria" w:hAnsi="Cambria"/>
          <w:noProof/>
          <w:sz w:val="19"/>
          <w:szCs w:val="19"/>
          <w:lang w:val="lv-LV"/>
        </w:rPr>
        <w:br/>
        <w:t>Finanšu un kapitāla tirgus komisijas</w:t>
      </w:r>
      <w:r w:rsidRPr="00E71AC9">
        <w:rPr>
          <w:rFonts w:ascii="Cambria" w:hAnsi="Cambria"/>
          <w:noProof/>
          <w:sz w:val="19"/>
          <w:szCs w:val="19"/>
          <w:lang w:val="lv-LV"/>
        </w:rPr>
        <w:br/>
        <w:t>25.08.2020. normatīvajiem noteikumiem Nr. 138</w:t>
      </w:r>
    </w:p>
    <w:p w:rsidR="0002558E" w:rsidRPr="005A6C9E" w:rsidRDefault="0002558E" w:rsidP="0002558E">
      <w:pPr>
        <w:spacing w:before="360" w:after="0" w:line="240" w:lineRule="auto"/>
        <w:ind w:left="567" w:right="567"/>
        <w:jc w:val="center"/>
        <w:rPr>
          <w:rFonts w:ascii="Cambria" w:hAnsi="Cambria"/>
          <w:b/>
          <w:noProof/>
          <w:szCs w:val="19"/>
          <w:lang w:val="lv-LV"/>
        </w:rPr>
      </w:pPr>
      <w:r w:rsidRPr="005A6C9E">
        <w:rPr>
          <w:rFonts w:ascii="Cambria" w:hAnsi="Cambria"/>
          <w:b/>
          <w:noProof/>
          <w:szCs w:val="19"/>
          <w:lang w:val="lv-LV"/>
        </w:rPr>
        <w:t>Informācijas sistēmu drošības politikas aprakstā iekļaujamā informācija</w:t>
      </w:r>
    </w:p>
    <w:p w:rsidR="0002558E" w:rsidRPr="00E71AC9" w:rsidRDefault="0002558E" w:rsidP="0002558E">
      <w:pPr>
        <w:spacing w:before="130" w:after="0" w:line="260" w:lineRule="exact"/>
        <w:jc w:val="both"/>
        <w:rPr>
          <w:rFonts w:ascii="Cambria" w:hAnsi="Cambria"/>
          <w:noProof/>
          <w:sz w:val="19"/>
          <w:szCs w:val="19"/>
          <w:lang w:val="lv-LV"/>
        </w:rPr>
      </w:pPr>
    </w:p>
    <w:p w:rsidR="0002558E" w:rsidRPr="00E71AC9" w:rsidRDefault="0002558E" w:rsidP="0002558E">
      <w:pPr>
        <w:spacing w:before="130" w:after="120" w:line="260" w:lineRule="exact"/>
        <w:jc w:val="both"/>
        <w:rPr>
          <w:rFonts w:ascii="Cambria" w:hAnsi="Cambria"/>
          <w:noProof/>
          <w:sz w:val="19"/>
          <w:szCs w:val="19"/>
          <w:lang w:val="lv-LV"/>
        </w:rPr>
      </w:pPr>
      <w:r w:rsidRPr="00E71AC9">
        <w:rPr>
          <w:rFonts w:ascii="Cambria" w:hAnsi="Cambria"/>
          <w:noProof/>
          <w:sz w:val="19"/>
          <w:szCs w:val="19"/>
          <w:lang w:val="lv-LV"/>
        </w:rPr>
        <w:t xml:space="preserve">Iesnieguma iesniedzējs iesniedz informācijas sistēmu drošības pārvaldības aprakstu, kurš izstrādāts, ņemot vērā </w:t>
      </w:r>
      <w:r w:rsidRPr="00E71AC9">
        <w:rPr>
          <w:rFonts w:ascii="Cambria" w:hAnsi="Cambria"/>
          <w:bCs/>
          <w:noProof/>
          <w:color w:val="000000"/>
          <w:sz w:val="19"/>
          <w:szCs w:val="19"/>
          <w:lang w:val="lv-LV"/>
        </w:rPr>
        <w:t>Finanšu un kapitāla tirgus komisijas informācijas sistēmu drošības jomas normatīvo noteikumu prasības</w:t>
      </w:r>
      <w:r w:rsidRPr="00E71AC9">
        <w:rPr>
          <w:rFonts w:ascii="Cambria" w:hAnsi="Cambria"/>
          <w:noProof/>
          <w:sz w:val="19"/>
          <w:szCs w:val="19"/>
          <w:lang w:val="lv-LV"/>
        </w:rPr>
        <w:t>, un kurā iekļauj vismaz tālāk minēto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7"/>
        <w:gridCol w:w="4427"/>
        <w:gridCol w:w="3332"/>
      </w:tblGrid>
      <w:tr w:rsidR="0002558E" w:rsidRPr="005A6C9E" w:rsidTr="006E10CF">
        <w:trPr>
          <w:cantSplit/>
        </w:trPr>
        <w:tc>
          <w:tcPr>
            <w:tcW w:w="595" w:type="dxa"/>
            <w:vAlign w:val="center"/>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Nr.</w:t>
            </w:r>
          </w:p>
        </w:tc>
        <w:tc>
          <w:tcPr>
            <w:tcW w:w="5103" w:type="dxa"/>
            <w:vAlign w:val="center"/>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Iekļaujamā informācija</w:t>
            </w:r>
          </w:p>
        </w:tc>
        <w:tc>
          <w:tcPr>
            <w:tcW w:w="3883" w:type="dxa"/>
            <w:vAlign w:val="center"/>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Informācijas atrašanās vieta aprakstā</w:t>
            </w:r>
          </w:p>
        </w:tc>
      </w:tr>
      <w:tr w:rsidR="0002558E" w:rsidRPr="005A6C9E" w:rsidTr="006E10CF">
        <w:trPr>
          <w:cantSplit/>
        </w:trPr>
        <w:tc>
          <w:tcPr>
            <w:tcW w:w="595" w:type="dxa"/>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1.</w:t>
            </w:r>
          </w:p>
        </w:tc>
        <w:tc>
          <w:tcPr>
            <w:tcW w:w="5103" w:type="dxa"/>
          </w:tcPr>
          <w:p w:rsidR="0002558E" w:rsidRPr="005A6C9E" w:rsidRDefault="0002558E"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Detalizēts riska novērtējums par maksājumu pakalpojumiem un elektroniskās naudas pakalpojumiem, ko iesnieguma iesniedzējs plāno sniegt, iekļaujot arī krāpšanas risku un drošības kontroles un riska mazināšanas pasākumus, ko veic, lai pienācīgi aizsargātu maksājumu pakalpojumu izmantotājus un elektroniskās naudas turētājus no identificētajiem riskiem.</w:t>
            </w:r>
          </w:p>
        </w:tc>
        <w:tc>
          <w:tcPr>
            <w:tcW w:w="3883" w:type="dxa"/>
          </w:tcPr>
          <w:p w:rsidR="0002558E" w:rsidRPr="005A6C9E" w:rsidRDefault="0002558E" w:rsidP="006E10CF">
            <w:pPr>
              <w:spacing w:after="0" w:line="240" w:lineRule="auto"/>
              <w:rPr>
                <w:rFonts w:ascii="Cambria" w:hAnsi="Cambria"/>
                <w:noProof/>
                <w:sz w:val="19"/>
                <w:szCs w:val="19"/>
                <w:lang w:val="lv-LV"/>
              </w:rPr>
            </w:pPr>
          </w:p>
        </w:tc>
      </w:tr>
      <w:tr w:rsidR="0002558E" w:rsidRPr="005A6C9E" w:rsidTr="006E10CF">
        <w:trPr>
          <w:cantSplit/>
        </w:trPr>
        <w:tc>
          <w:tcPr>
            <w:tcW w:w="595" w:type="dxa"/>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2.</w:t>
            </w:r>
          </w:p>
        </w:tc>
        <w:tc>
          <w:tcPr>
            <w:tcW w:w="5103" w:type="dxa"/>
          </w:tcPr>
          <w:p w:rsidR="0002558E" w:rsidRPr="005A6C9E" w:rsidRDefault="0002558E"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IT sistēmu apraksts, kurā jāiekļauj šāda informācija:</w:t>
            </w:r>
          </w:p>
          <w:p w:rsidR="0002558E" w:rsidRPr="005A6C9E" w:rsidRDefault="0002558E" w:rsidP="006E10CF">
            <w:pPr>
              <w:pStyle w:val="Default"/>
              <w:ind w:left="227"/>
              <w:rPr>
                <w:rFonts w:ascii="Cambria" w:hAnsi="Cambria" w:cs="Times New Roman"/>
                <w:noProof/>
                <w:sz w:val="19"/>
                <w:szCs w:val="19"/>
                <w:lang w:val="lv-LV"/>
              </w:rPr>
            </w:pPr>
            <w:r w:rsidRPr="005A6C9E">
              <w:rPr>
                <w:rFonts w:ascii="Cambria" w:hAnsi="Cambria" w:cs="Times New Roman"/>
                <w:noProof/>
                <w:sz w:val="19"/>
                <w:szCs w:val="19"/>
                <w:lang w:val="lv-LV"/>
              </w:rPr>
              <w:t>a) sistēmu un to tīkla elementu arhitektūra (datortīkla un pieslēgumu shēma);</w:t>
            </w:r>
          </w:p>
          <w:p w:rsidR="0002558E" w:rsidRPr="005A6C9E" w:rsidRDefault="0002558E" w:rsidP="006E10CF">
            <w:pPr>
              <w:pStyle w:val="Default"/>
              <w:ind w:left="227"/>
              <w:rPr>
                <w:rFonts w:ascii="Cambria" w:hAnsi="Cambria" w:cs="Times New Roman"/>
                <w:noProof/>
                <w:sz w:val="19"/>
                <w:szCs w:val="19"/>
                <w:lang w:val="lv-LV"/>
              </w:rPr>
            </w:pPr>
            <w:r w:rsidRPr="005A6C9E">
              <w:rPr>
                <w:rFonts w:ascii="Cambria" w:hAnsi="Cambria" w:cs="Times New Roman"/>
                <w:noProof/>
                <w:sz w:val="19"/>
                <w:szCs w:val="19"/>
                <w:lang w:val="lv-LV"/>
              </w:rPr>
              <w:t>b) informācijas sistēmas, kas atbalsta īstenoto komercdarbību, piemēram, iesnieguma iesniedzēja tīmekļa vietne, elektroniskie maki, maksājumu sistēma, risku un krāpšanas pārvaldības sistēmas un klientu uzskaites sistēma;</w:t>
            </w:r>
          </w:p>
          <w:p w:rsidR="0002558E" w:rsidRPr="005A6C9E" w:rsidRDefault="0002558E" w:rsidP="006E10CF">
            <w:pPr>
              <w:pStyle w:val="Default"/>
              <w:ind w:left="227"/>
              <w:rPr>
                <w:rFonts w:ascii="Cambria" w:hAnsi="Cambria" w:cs="Times New Roman"/>
                <w:noProof/>
                <w:sz w:val="19"/>
                <w:szCs w:val="19"/>
                <w:lang w:val="lv-LV"/>
              </w:rPr>
            </w:pPr>
            <w:r w:rsidRPr="005A6C9E">
              <w:rPr>
                <w:rFonts w:ascii="Cambria" w:hAnsi="Cambria" w:cs="Times New Roman"/>
                <w:noProof/>
                <w:sz w:val="19"/>
                <w:szCs w:val="19"/>
                <w:lang w:val="lv-LV"/>
              </w:rPr>
              <w:t>c) IT atbalsta sistēmas, ko izmanto iesnieguma iesniedzēja darbības organizācijai un pārvaldībai, piemēram, grāmatvedības, personālvadības, attiecību ar klientiem pārvaldības informācijas sistēmas, e-pasta sistēma un iekšējā failu sistēma;</w:t>
            </w:r>
          </w:p>
          <w:p w:rsidR="0002558E" w:rsidRPr="005A6C9E" w:rsidRDefault="0002558E" w:rsidP="006E10CF">
            <w:pPr>
              <w:pStyle w:val="Default"/>
              <w:ind w:left="227"/>
              <w:rPr>
                <w:rFonts w:ascii="Cambria" w:hAnsi="Cambria" w:cs="Times New Roman"/>
                <w:noProof/>
                <w:sz w:val="19"/>
                <w:szCs w:val="19"/>
                <w:lang w:val="lv-LV"/>
              </w:rPr>
            </w:pPr>
            <w:r w:rsidRPr="005A6C9E">
              <w:rPr>
                <w:rFonts w:ascii="Cambria" w:hAnsi="Cambria" w:cs="Times New Roman"/>
                <w:noProof/>
                <w:sz w:val="19"/>
                <w:szCs w:val="19"/>
                <w:lang w:val="lv-LV"/>
              </w:rPr>
              <w:t>d) informācija, vai iesnieguma iesniedzējs vai tā grupa jau izmanto minētās informācijas sistēmas; paredzamais to ieviešanas datums, ja piemērojams.</w:t>
            </w:r>
          </w:p>
        </w:tc>
        <w:tc>
          <w:tcPr>
            <w:tcW w:w="3883" w:type="dxa"/>
          </w:tcPr>
          <w:p w:rsidR="0002558E" w:rsidRPr="005A6C9E" w:rsidRDefault="0002558E" w:rsidP="006E10CF">
            <w:pPr>
              <w:spacing w:after="0" w:line="240" w:lineRule="auto"/>
              <w:rPr>
                <w:rFonts w:ascii="Cambria" w:hAnsi="Cambria"/>
                <w:noProof/>
                <w:sz w:val="19"/>
                <w:szCs w:val="19"/>
                <w:lang w:val="lv-LV"/>
              </w:rPr>
            </w:pPr>
          </w:p>
        </w:tc>
      </w:tr>
      <w:tr w:rsidR="0002558E" w:rsidRPr="005A6C9E" w:rsidTr="006E10CF">
        <w:trPr>
          <w:cantSplit/>
        </w:trPr>
        <w:tc>
          <w:tcPr>
            <w:tcW w:w="595" w:type="dxa"/>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3.</w:t>
            </w:r>
          </w:p>
        </w:tc>
        <w:tc>
          <w:tcPr>
            <w:tcW w:w="5103" w:type="dxa"/>
          </w:tcPr>
          <w:p w:rsidR="0002558E" w:rsidRPr="005A6C9E" w:rsidRDefault="0002558E"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Atļautie ārējo pieslēgumu veidi, piemēram, partneriem, pakalpojumu sniedzējiem, grupas vienībām un darbiniekiem, kuri strādā attālināti, tostarp šādu pieslēgumu loģiskais pamatojums, norādot ieviestos loģiskās drošības pasākumus un kontroles mehānismus.</w:t>
            </w:r>
          </w:p>
        </w:tc>
        <w:tc>
          <w:tcPr>
            <w:tcW w:w="3883" w:type="dxa"/>
          </w:tcPr>
          <w:p w:rsidR="0002558E" w:rsidRPr="005A6C9E" w:rsidRDefault="0002558E" w:rsidP="006E10CF">
            <w:pPr>
              <w:spacing w:after="0" w:line="240" w:lineRule="auto"/>
              <w:rPr>
                <w:rFonts w:ascii="Cambria" w:hAnsi="Cambria"/>
                <w:noProof/>
                <w:sz w:val="19"/>
                <w:szCs w:val="19"/>
                <w:lang w:val="lv-LV"/>
              </w:rPr>
            </w:pPr>
          </w:p>
        </w:tc>
      </w:tr>
      <w:tr w:rsidR="0002558E" w:rsidRPr="005A6C9E" w:rsidTr="006E10CF">
        <w:trPr>
          <w:cantSplit/>
        </w:trPr>
        <w:tc>
          <w:tcPr>
            <w:tcW w:w="595" w:type="dxa"/>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4.</w:t>
            </w:r>
          </w:p>
        </w:tc>
        <w:tc>
          <w:tcPr>
            <w:tcW w:w="5103" w:type="dxa"/>
          </w:tcPr>
          <w:p w:rsidR="0002558E" w:rsidRPr="005A6C9E" w:rsidRDefault="0002558E"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Loģiskās drošības pasākumi un mehānismi, kas regulē iekšējo piekļuvi IT sistēmām.</w:t>
            </w:r>
          </w:p>
        </w:tc>
        <w:tc>
          <w:tcPr>
            <w:tcW w:w="3883" w:type="dxa"/>
          </w:tcPr>
          <w:p w:rsidR="0002558E" w:rsidRPr="005A6C9E" w:rsidRDefault="0002558E" w:rsidP="006E10CF">
            <w:pPr>
              <w:spacing w:after="0" w:line="240" w:lineRule="auto"/>
              <w:rPr>
                <w:rFonts w:ascii="Cambria" w:hAnsi="Cambria"/>
                <w:noProof/>
                <w:sz w:val="19"/>
                <w:szCs w:val="19"/>
                <w:lang w:val="lv-LV"/>
              </w:rPr>
            </w:pPr>
          </w:p>
        </w:tc>
      </w:tr>
      <w:tr w:rsidR="0002558E" w:rsidRPr="005A6C9E" w:rsidTr="006E10CF">
        <w:trPr>
          <w:cantSplit/>
        </w:trPr>
        <w:tc>
          <w:tcPr>
            <w:tcW w:w="595" w:type="dxa"/>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5.</w:t>
            </w:r>
          </w:p>
        </w:tc>
        <w:tc>
          <w:tcPr>
            <w:tcW w:w="5103" w:type="dxa"/>
          </w:tcPr>
          <w:p w:rsidR="0002558E" w:rsidRPr="005A6C9E" w:rsidRDefault="0002558E"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Iesnieguma iesniedzēja darba vietu un datu centra fiziskās drošības pasākumi un mehānismi, piemēram, fiziskās piekļuves kontroles pasākumi un vides drošības pārvaldība.</w:t>
            </w:r>
          </w:p>
        </w:tc>
        <w:tc>
          <w:tcPr>
            <w:tcW w:w="3883" w:type="dxa"/>
          </w:tcPr>
          <w:p w:rsidR="0002558E" w:rsidRPr="005A6C9E" w:rsidRDefault="0002558E" w:rsidP="006E10CF">
            <w:pPr>
              <w:spacing w:after="0" w:line="240" w:lineRule="auto"/>
              <w:rPr>
                <w:rFonts w:ascii="Cambria" w:hAnsi="Cambria"/>
                <w:noProof/>
                <w:sz w:val="19"/>
                <w:szCs w:val="19"/>
                <w:lang w:val="lv-LV"/>
              </w:rPr>
            </w:pPr>
          </w:p>
        </w:tc>
      </w:tr>
      <w:tr w:rsidR="0002558E" w:rsidRPr="005A6C9E" w:rsidTr="006E10CF">
        <w:trPr>
          <w:cantSplit/>
        </w:trPr>
        <w:tc>
          <w:tcPr>
            <w:tcW w:w="595" w:type="dxa"/>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lastRenderedPageBreak/>
              <w:t>6.</w:t>
            </w:r>
          </w:p>
        </w:tc>
        <w:tc>
          <w:tcPr>
            <w:tcW w:w="5103" w:type="dxa"/>
          </w:tcPr>
          <w:p w:rsidR="0002558E" w:rsidRPr="005A6C9E" w:rsidRDefault="0002558E"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Maksājumu procesu un elektroniskās naudas pakalpojumu procesu drošība, iekļaujot šādu informāciju:</w:t>
            </w:r>
          </w:p>
          <w:p w:rsidR="0002558E" w:rsidRPr="005A6C9E" w:rsidRDefault="0002558E" w:rsidP="006E10CF">
            <w:pPr>
              <w:pStyle w:val="Default"/>
              <w:ind w:left="227"/>
              <w:rPr>
                <w:rFonts w:ascii="Cambria" w:hAnsi="Cambria" w:cs="Times New Roman"/>
                <w:noProof/>
                <w:sz w:val="19"/>
                <w:szCs w:val="19"/>
                <w:lang w:val="lv-LV"/>
              </w:rPr>
            </w:pPr>
            <w:r w:rsidRPr="005A6C9E">
              <w:rPr>
                <w:rFonts w:ascii="Cambria" w:hAnsi="Cambria" w:cs="Times New Roman"/>
                <w:noProof/>
                <w:sz w:val="19"/>
                <w:szCs w:val="19"/>
                <w:lang w:val="lv-LV"/>
              </w:rPr>
              <w:t>a) klientu autentifikācijas procedūra, ko izmanto gan informatīvai piekļuvei, gan piekļuvei maksājuma vai maksājuma ierosināšanas nolūkā;</w:t>
            </w:r>
          </w:p>
          <w:p w:rsidR="0002558E" w:rsidRPr="005A6C9E" w:rsidRDefault="0002558E" w:rsidP="006E10CF">
            <w:pPr>
              <w:pStyle w:val="Default"/>
              <w:ind w:left="227"/>
              <w:rPr>
                <w:rFonts w:ascii="Cambria" w:hAnsi="Cambria" w:cs="Times New Roman"/>
                <w:noProof/>
                <w:sz w:val="19"/>
                <w:szCs w:val="19"/>
                <w:lang w:val="lv-LV"/>
              </w:rPr>
            </w:pPr>
            <w:r w:rsidRPr="005A6C9E">
              <w:rPr>
                <w:rFonts w:ascii="Cambria" w:hAnsi="Cambria" w:cs="Times New Roman"/>
                <w:noProof/>
                <w:sz w:val="19"/>
                <w:szCs w:val="19"/>
                <w:lang w:val="lv-LV"/>
              </w:rPr>
              <w:t>b) autentifikācijas elementu droša nodošana likumīgajam maksājumu pakalpojumu izmantotājam vai elektroniskās naudas turētājam, nodrošinot integritāti gan to sākotnējās ieviešanas, gan atjaunošanas gadījumā;</w:t>
            </w:r>
          </w:p>
          <w:p w:rsidR="0002558E" w:rsidRPr="005A6C9E" w:rsidRDefault="0002558E" w:rsidP="006E10CF">
            <w:pPr>
              <w:pStyle w:val="Default"/>
              <w:ind w:left="227"/>
              <w:rPr>
                <w:rFonts w:ascii="Cambria" w:hAnsi="Cambria" w:cs="Times New Roman"/>
                <w:noProof/>
                <w:sz w:val="19"/>
                <w:szCs w:val="19"/>
                <w:lang w:val="lv-LV"/>
              </w:rPr>
            </w:pPr>
            <w:r w:rsidRPr="005A6C9E">
              <w:rPr>
                <w:rFonts w:ascii="Cambria" w:hAnsi="Cambria" w:cs="Times New Roman"/>
                <w:noProof/>
                <w:sz w:val="19"/>
                <w:szCs w:val="19"/>
                <w:lang w:val="lv-LV"/>
              </w:rPr>
              <w:t>c) sistēmu un procedūru, ko iesnieguma iesniedzējs ieviesis maksājumu analīzei un aizdomīgu vai neparastu maksājumu identificēšanai, apraksts.</w:t>
            </w:r>
          </w:p>
        </w:tc>
        <w:tc>
          <w:tcPr>
            <w:tcW w:w="3883" w:type="dxa"/>
          </w:tcPr>
          <w:p w:rsidR="0002558E" w:rsidRPr="005A6C9E" w:rsidRDefault="0002558E" w:rsidP="006E10CF">
            <w:pPr>
              <w:spacing w:after="0" w:line="240" w:lineRule="auto"/>
              <w:rPr>
                <w:rFonts w:ascii="Cambria" w:hAnsi="Cambria"/>
                <w:noProof/>
                <w:sz w:val="19"/>
                <w:szCs w:val="19"/>
                <w:lang w:val="lv-LV"/>
              </w:rPr>
            </w:pPr>
          </w:p>
        </w:tc>
      </w:tr>
      <w:tr w:rsidR="0002558E" w:rsidRPr="005A6C9E" w:rsidTr="006E10CF">
        <w:trPr>
          <w:cantSplit/>
        </w:trPr>
        <w:tc>
          <w:tcPr>
            <w:tcW w:w="595" w:type="dxa"/>
          </w:tcPr>
          <w:p w:rsidR="0002558E" w:rsidRPr="005A6C9E" w:rsidRDefault="0002558E" w:rsidP="006E10CF">
            <w:pPr>
              <w:spacing w:after="0" w:line="240" w:lineRule="auto"/>
              <w:jc w:val="center"/>
              <w:rPr>
                <w:rFonts w:ascii="Cambria" w:hAnsi="Cambria"/>
                <w:noProof/>
                <w:sz w:val="19"/>
                <w:szCs w:val="19"/>
                <w:lang w:val="lv-LV"/>
              </w:rPr>
            </w:pPr>
            <w:r w:rsidRPr="005A6C9E">
              <w:rPr>
                <w:rFonts w:ascii="Cambria" w:hAnsi="Cambria"/>
                <w:noProof/>
                <w:sz w:val="19"/>
                <w:szCs w:val="19"/>
                <w:lang w:val="lv-LV"/>
              </w:rPr>
              <w:t>7.</w:t>
            </w:r>
          </w:p>
        </w:tc>
        <w:tc>
          <w:tcPr>
            <w:tcW w:w="5103" w:type="dxa"/>
          </w:tcPr>
          <w:p w:rsidR="0002558E" w:rsidRPr="005A6C9E" w:rsidRDefault="0002558E" w:rsidP="006E10CF">
            <w:pPr>
              <w:pStyle w:val="Default"/>
              <w:rPr>
                <w:rFonts w:ascii="Cambria" w:hAnsi="Cambria" w:cs="Times New Roman"/>
                <w:noProof/>
                <w:sz w:val="19"/>
                <w:szCs w:val="19"/>
                <w:lang w:val="lv-LV"/>
              </w:rPr>
            </w:pPr>
            <w:r w:rsidRPr="005A6C9E">
              <w:rPr>
                <w:rFonts w:ascii="Cambria" w:hAnsi="Cambria" w:cs="Times New Roman"/>
                <w:noProof/>
                <w:sz w:val="19"/>
                <w:szCs w:val="19"/>
                <w:lang w:val="lv-LV"/>
              </w:rPr>
              <w:t>To galveno procedūru saraksts, kuras attiecas uz iesnieguma iesniedzēja informācijas sistēmām, vai attiecībā uz procedūrām, kas vēl nav formalizētas, – paredzamais to spēkā stāšanās datums.</w:t>
            </w:r>
          </w:p>
        </w:tc>
        <w:tc>
          <w:tcPr>
            <w:tcW w:w="3883" w:type="dxa"/>
          </w:tcPr>
          <w:p w:rsidR="0002558E" w:rsidRPr="005A6C9E" w:rsidRDefault="0002558E" w:rsidP="006E10CF">
            <w:pPr>
              <w:spacing w:after="0" w:line="240" w:lineRule="auto"/>
              <w:rPr>
                <w:rFonts w:ascii="Cambria" w:hAnsi="Cambria"/>
                <w:noProof/>
                <w:sz w:val="19"/>
                <w:szCs w:val="19"/>
                <w:lang w:val="lv-LV"/>
              </w:rPr>
            </w:pPr>
          </w:p>
        </w:tc>
      </w:tr>
    </w:tbl>
    <w:p w:rsidR="00711EB7" w:rsidRDefault="0002558E">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8E"/>
    <w:rsid w:val="0002558E"/>
    <w:rsid w:val="000754BB"/>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2C51-547F-42CF-9C63-F9216CFB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8E"/>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58E"/>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1854</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2020-09-04T08:27:00Z</dcterms:created>
  <dcterms:modified xsi:type="dcterms:W3CDTF">2020-09-04T08:27:00Z</dcterms:modified>
</cp:coreProperties>
</file>