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AD" w:rsidRPr="006E1C07" w:rsidRDefault="005718AD" w:rsidP="005718AD">
      <w:pPr>
        <w:spacing w:before="130" w:line="260" w:lineRule="exact"/>
        <w:ind w:firstLine="539"/>
        <w:jc w:val="right"/>
        <w:rPr>
          <w:rFonts w:ascii="Cambria" w:hAnsi="Cambria"/>
          <w:sz w:val="19"/>
          <w:szCs w:val="28"/>
        </w:rPr>
      </w:pPr>
      <w:r w:rsidRPr="006E1C07">
        <w:rPr>
          <w:rFonts w:ascii="Cambria" w:hAnsi="Cambria"/>
          <w:sz w:val="19"/>
          <w:szCs w:val="28"/>
        </w:rPr>
        <w:t xml:space="preserve">2. pielikums </w:t>
      </w:r>
      <w:r>
        <w:rPr>
          <w:rFonts w:ascii="Cambria" w:hAnsi="Cambria"/>
          <w:sz w:val="19"/>
          <w:szCs w:val="28"/>
        </w:rPr>
        <w:br/>
        <w:t>Ministru kabineta</w:t>
      </w:r>
      <w:r>
        <w:rPr>
          <w:rFonts w:ascii="Cambria" w:hAnsi="Cambria"/>
          <w:sz w:val="19"/>
          <w:szCs w:val="28"/>
        </w:rPr>
        <w:br/>
      </w:r>
      <w:r w:rsidRPr="006E1C07">
        <w:rPr>
          <w:rFonts w:ascii="Cambria" w:hAnsi="Cambria"/>
          <w:sz w:val="19"/>
          <w:szCs w:val="28"/>
        </w:rPr>
        <w:t>2019. gada 2. aprīļa</w:t>
      </w:r>
      <w:r>
        <w:rPr>
          <w:rFonts w:ascii="Cambria" w:hAnsi="Cambria"/>
          <w:sz w:val="19"/>
          <w:szCs w:val="28"/>
        </w:rPr>
        <w:br/>
      </w:r>
      <w:r w:rsidRPr="006E1C07">
        <w:rPr>
          <w:rFonts w:ascii="Cambria" w:hAnsi="Cambria"/>
          <w:sz w:val="19"/>
          <w:szCs w:val="28"/>
        </w:rPr>
        <w:t>noteikumiem Nr. 138</w:t>
      </w:r>
    </w:p>
    <w:p w:rsidR="005718AD" w:rsidRPr="00EA550D" w:rsidRDefault="005718AD" w:rsidP="005718AD">
      <w:pPr>
        <w:spacing w:before="360"/>
        <w:ind w:left="567" w:right="567"/>
        <w:jc w:val="center"/>
        <w:rPr>
          <w:rFonts w:ascii="Cambria" w:hAnsi="Cambria"/>
          <w:b/>
          <w:iCs/>
          <w:sz w:val="22"/>
          <w:szCs w:val="28"/>
        </w:rPr>
      </w:pPr>
      <w:r w:rsidRPr="00EA550D">
        <w:rPr>
          <w:rFonts w:ascii="Cambria" w:hAnsi="Cambria"/>
          <w:b/>
          <w:iCs/>
          <w:sz w:val="22"/>
          <w:szCs w:val="28"/>
        </w:rPr>
        <w:t>Novērtēšanas karte (protokols) un fizisko un garīgo spēju izvērtēšanas un aprūpes līmeņa noteikšanas kritēriji klientam ar funkcionāliem traucējumiem</w:t>
      </w:r>
    </w:p>
    <w:p w:rsidR="005718AD" w:rsidRPr="006E1C07" w:rsidRDefault="005718AD" w:rsidP="005718AD">
      <w:pPr>
        <w:spacing w:before="130" w:line="260" w:lineRule="exact"/>
        <w:ind w:firstLine="539"/>
        <w:jc w:val="both"/>
        <w:rPr>
          <w:rFonts w:ascii="Cambria" w:hAnsi="Cambria"/>
          <w:bCs/>
          <w:i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108"/>
        <w:gridCol w:w="5588"/>
      </w:tblGrid>
      <w:tr w:rsidR="005718AD" w:rsidRPr="00EA550D" w:rsidTr="00385F70">
        <w:tc>
          <w:tcPr>
            <w:tcW w:w="3658" w:type="dxa"/>
            <w:tcBorders>
              <w:top w:val="nil"/>
              <w:left w:val="nil"/>
              <w:bottom w:val="nil"/>
              <w:right w:val="nil"/>
            </w:tcBorders>
          </w:tcPr>
          <w:p w:rsidR="005718AD" w:rsidRPr="00EA550D" w:rsidRDefault="005718AD" w:rsidP="00385F70">
            <w:pPr>
              <w:jc w:val="both"/>
              <w:rPr>
                <w:rFonts w:ascii="Cambria" w:hAnsi="Cambria"/>
                <w:snapToGrid w:val="0"/>
                <w:sz w:val="19"/>
              </w:rPr>
            </w:pPr>
            <w:r w:rsidRPr="00EA550D">
              <w:rPr>
                <w:rFonts w:ascii="Cambria" w:hAnsi="Cambria"/>
                <w:sz w:val="19"/>
              </w:rPr>
              <w:t>Klienta vārds, uzvārds</w:t>
            </w:r>
          </w:p>
        </w:tc>
        <w:tc>
          <w:tcPr>
            <w:tcW w:w="6521" w:type="dxa"/>
            <w:tcBorders>
              <w:top w:val="nil"/>
              <w:left w:val="nil"/>
              <w:right w:val="nil"/>
            </w:tcBorders>
          </w:tcPr>
          <w:p w:rsidR="005718AD" w:rsidRPr="00EA550D" w:rsidRDefault="005718AD" w:rsidP="00385F70">
            <w:pPr>
              <w:jc w:val="both"/>
              <w:rPr>
                <w:rFonts w:ascii="Cambria" w:hAnsi="Cambria"/>
                <w:snapToGrid w:val="0"/>
                <w:sz w:val="19"/>
              </w:rPr>
            </w:pPr>
          </w:p>
        </w:tc>
      </w:tr>
      <w:tr w:rsidR="005718AD" w:rsidRPr="00EA550D" w:rsidTr="00385F70">
        <w:tc>
          <w:tcPr>
            <w:tcW w:w="3658" w:type="dxa"/>
            <w:tcBorders>
              <w:top w:val="nil"/>
              <w:left w:val="nil"/>
              <w:bottom w:val="nil"/>
              <w:right w:val="nil"/>
            </w:tcBorders>
          </w:tcPr>
          <w:p w:rsidR="005718AD" w:rsidRPr="00EA550D" w:rsidRDefault="005718AD" w:rsidP="00385F70">
            <w:pPr>
              <w:jc w:val="both"/>
              <w:rPr>
                <w:rFonts w:ascii="Cambria" w:hAnsi="Cambria"/>
                <w:sz w:val="19"/>
              </w:rPr>
            </w:pPr>
            <w:r w:rsidRPr="00EA550D">
              <w:rPr>
                <w:rFonts w:ascii="Cambria" w:hAnsi="Cambria"/>
                <w:sz w:val="19"/>
              </w:rPr>
              <w:t>Dzimšanas datums</w:t>
            </w:r>
          </w:p>
        </w:tc>
        <w:tc>
          <w:tcPr>
            <w:tcW w:w="6521" w:type="dxa"/>
            <w:tcBorders>
              <w:left w:val="nil"/>
              <w:bottom w:val="nil"/>
              <w:right w:val="nil"/>
            </w:tcBorders>
          </w:tcPr>
          <w:p w:rsidR="005718AD" w:rsidRPr="00EA550D" w:rsidRDefault="005718AD" w:rsidP="00385F70">
            <w:pPr>
              <w:rPr>
                <w:rFonts w:ascii="Cambria" w:hAnsi="Cambria"/>
                <w:sz w:val="19"/>
                <w:szCs w:val="28"/>
              </w:rPr>
            </w:pPr>
            <w:r>
              <w:rPr>
                <w:rFonts w:ascii="Cambria Math" w:hAnsi="Cambria Math" w:cs="Cambria Math"/>
                <w:w w:val="140"/>
                <w:sz w:val="19"/>
                <w:szCs w:val="19"/>
              </w:rPr>
              <w:t xml:space="preserve">                </w:t>
            </w:r>
            <w:r w:rsidRPr="006E1C07">
              <w:rPr>
                <w:rFonts w:ascii="Cambria Math" w:hAnsi="Cambria Math" w:cs="Cambria Math"/>
                <w:w w:val="140"/>
                <w:sz w:val="19"/>
                <w:szCs w:val="19"/>
              </w:rPr>
              <w:t>⎕⎕</w:t>
            </w:r>
            <w:r w:rsidRPr="00EA550D">
              <w:rPr>
                <w:rFonts w:ascii="Cambria" w:hAnsi="Cambria"/>
                <w:sz w:val="19"/>
              </w:rPr>
              <w:t>.</w:t>
            </w:r>
            <w:r w:rsidRPr="006E1C07">
              <w:rPr>
                <w:rFonts w:ascii="Cambria Math" w:hAnsi="Cambria Math" w:cs="Cambria Math"/>
                <w:w w:val="140"/>
                <w:sz w:val="19"/>
                <w:szCs w:val="19"/>
              </w:rPr>
              <w:t>⎕⎕</w:t>
            </w:r>
            <w:r w:rsidRPr="00EA550D">
              <w:rPr>
                <w:rFonts w:ascii="Cambria" w:hAnsi="Cambria"/>
                <w:sz w:val="19"/>
              </w:rPr>
              <w:t>.</w:t>
            </w:r>
            <w:r w:rsidRPr="006E1C07">
              <w:rPr>
                <w:rFonts w:ascii="Cambria Math" w:hAnsi="Cambria Math" w:cs="Cambria Math"/>
                <w:w w:val="140"/>
                <w:sz w:val="19"/>
                <w:szCs w:val="19"/>
              </w:rPr>
              <w:t>⎕⎕⎕⎕</w:t>
            </w:r>
            <w:r w:rsidRPr="00EA550D">
              <w:rPr>
                <w:rFonts w:ascii="Cambria" w:hAnsi="Cambria"/>
                <w:sz w:val="19"/>
              </w:rPr>
              <w:t>.</w:t>
            </w:r>
          </w:p>
          <w:p w:rsidR="005718AD" w:rsidRPr="00EA550D" w:rsidRDefault="005718AD" w:rsidP="00385F70">
            <w:pPr>
              <w:jc w:val="both"/>
              <w:rPr>
                <w:rFonts w:ascii="Cambria" w:hAnsi="Cambria"/>
                <w:snapToGrid w:val="0"/>
                <w:sz w:val="17"/>
                <w:szCs w:val="17"/>
              </w:rPr>
            </w:pPr>
            <w:r>
              <w:rPr>
                <w:rFonts w:ascii="Cambria" w:hAnsi="Cambria"/>
                <w:sz w:val="17"/>
                <w:szCs w:val="17"/>
              </w:rPr>
              <w:t xml:space="preserve">                              </w:t>
            </w:r>
            <w:r w:rsidRPr="00EA550D">
              <w:rPr>
                <w:rFonts w:ascii="Cambria" w:hAnsi="Cambria"/>
                <w:sz w:val="17"/>
                <w:szCs w:val="17"/>
              </w:rPr>
              <w:t>(datums, mēnesis, gads)</w:t>
            </w:r>
          </w:p>
        </w:tc>
      </w:tr>
      <w:tr w:rsidR="005718AD" w:rsidRPr="00EA550D" w:rsidTr="00385F70">
        <w:tc>
          <w:tcPr>
            <w:tcW w:w="3658" w:type="dxa"/>
            <w:tcBorders>
              <w:top w:val="nil"/>
              <w:left w:val="nil"/>
              <w:bottom w:val="nil"/>
              <w:right w:val="nil"/>
            </w:tcBorders>
          </w:tcPr>
          <w:p w:rsidR="005718AD" w:rsidRPr="00EA550D" w:rsidRDefault="005718AD" w:rsidP="00385F70">
            <w:pPr>
              <w:jc w:val="both"/>
              <w:rPr>
                <w:rFonts w:ascii="Cambria" w:hAnsi="Cambria"/>
                <w:sz w:val="19"/>
              </w:rPr>
            </w:pPr>
            <w:r w:rsidRPr="00EA550D">
              <w:rPr>
                <w:rFonts w:ascii="Cambria" w:hAnsi="Cambria"/>
                <w:sz w:val="19"/>
              </w:rPr>
              <w:t>Dzimums</w:t>
            </w:r>
          </w:p>
        </w:tc>
        <w:tc>
          <w:tcPr>
            <w:tcW w:w="6521" w:type="dxa"/>
            <w:tcBorders>
              <w:top w:val="nil"/>
              <w:left w:val="nil"/>
              <w:bottom w:val="nil"/>
              <w:right w:val="nil"/>
            </w:tcBorders>
          </w:tcPr>
          <w:p w:rsidR="005718AD" w:rsidRPr="00EA550D" w:rsidRDefault="005718AD" w:rsidP="00385F70">
            <w:pPr>
              <w:jc w:val="both"/>
              <w:rPr>
                <w:rFonts w:ascii="Cambria" w:hAnsi="Cambria"/>
                <w:snapToGrid w:val="0"/>
                <w:sz w:val="19"/>
              </w:rPr>
            </w:pPr>
            <w:r w:rsidRPr="00EA550D">
              <w:rPr>
                <w:rFonts w:ascii="Cambria" w:hAnsi="Cambria"/>
                <w:sz w:val="19"/>
              </w:rPr>
              <w:t>S/V</w:t>
            </w:r>
          </w:p>
        </w:tc>
      </w:tr>
      <w:tr w:rsidR="005718AD" w:rsidRPr="00EA550D" w:rsidTr="00385F70">
        <w:tc>
          <w:tcPr>
            <w:tcW w:w="3658" w:type="dxa"/>
            <w:tcBorders>
              <w:top w:val="nil"/>
              <w:left w:val="nil"/>
              <w:bottom w:val="nil"/>
              <w:right w:val="nil"/>
            </w:tcBorders>
          </w:tcPr>
          <w:p w:rsidR="005718AD" w:rsidRPr="00EA550D" w:rsidRDefault="005718AD" w:rsidP="00385F70">
            <w:pPr>
              <w:jc w:val="both"/>
              <w:rPr>
                <w:rFonts w:ascii="Cambria" w:hAnsi="Cambria"/>
                <w:snapToGrid w:val="0"/>
                <w:sz w:val="19"/>
              </w:rPr>
            </w:pPr>
            <w:r w:rsidRPr="00EA550D">
              <w:rPr>
                <w:rFonts w:ascii="Cambria" w:hAnsi="Cambria"/>
                <w:sz w:val="19"/>
              </w:rPr>
              <w:t>Novērtēšanas vieta/laiks</w:t>
            </w:r>
          </w:p>
        </w:tc>
        <w:tc>
          <w:tcPr>
            <w:tcW w:w="6521" w:type="dxa"/>
            <w:tcBorders>
              <w:top w:val="nil"/>
              <w:left w:val="nil"/>
              <w:right w:val="nil"/>
            </w:tcBorders>
          </w:tcPr>
          <w:p w:rsidR="005718AD" w:rsidRPr="00EA550D" w:rsidRDefault="005718AD" w:rsidP="00385F70">
            <w:pPr>
              <w:jc w:val="both"/>
              <w:rPr>
                <w:rFonts w:ascii="Cambria" w:hAnsi="Cambria"/>
                <w:snapToGrid w:val="0"/>
                <w:sz w:val="19"/>
              </w:rPr>
            </w:pPr>
          </w:p>
        </w:tc>
      </w:tr>
      <w:tr w:rsidR="005718AD" w:rsidRPr="00EA550D" w:rsidTr="00385F70">
        <w:tc>
          <w:tcPr>
            <w:tcW w:w="3658" w:type="dxa"/>
            <w:tcBorders>
              <w:top w:val="nil"/>
              <w:left w:val="nil"/>
              <w:bottom w:val="nil"/>
              <w:right w:val="nil"/>
            </w:tcBorders>
          </w:tcPr>
          <w:p w:rsidR="005718AD" w:rsidRPr="00EA550D" w:rsidRDefault="005718AD" w:rsidP="00385F70">
            <w:pPr>
              <w:jc w:val="both"/>
              <w:rPr>
                <w:rFonts w:ascii="Cambria" w:hAnsi="Cambria"/>
                <w:snapToGrid w:val="0"/>
                <w:sz w:val="19"/>
              </w:rPr>
            </w:pPr>
            <w:r w:rsidRPr="00EA550D">
              <w:rPr>
                <w:rFonts w:ascii="Cambria" w:hAnsi="Cambria"/>
                <w:sz w:val="19"/>
              </w:rPr>
              <w:t xml:space="preserve">Speciālista vārds, uzvārds, amats </w:t>
            </w:r>
          </w:p>
        </w:tc>
        <w:tc>
          <w:tcPr>
            <w:tcW w:w="6521" w:type="dxa"/>
            <w:tcBorders>
              <w:left w:val="nil"/>
              <w:right w:val="nil"/>
            </w:tcBorders>
          </w:tcPr>
          <w:p w:rsidR="005718AD" w:rsidRPr="00EA550D" w:rsidRDefault="005718AD" w:rsidP="00385F70">
            <w:pPr>
              <w:jc w:val="both"/>
              <w:rPr>
                <w:rFonts w:ascii="Cambria" w:hAnsi="Cambria"/>
                <w:snapToGrid w:val="0"/>
                <w:sz w:val="19"/>
              </w:rPr>
            </w:pPr>
          </w:p>
        </w:tc>
      </w:tr>
      <w:tr w:rsidR="005718AD" w:rsidRPr="00EA550D" w:rsidTr="00385F70">
        <w:tc>
          <w:tcPr>
            <w:tcW w:w="3658" w:type="dxa"/>
            <w:tcBorders>
              <w:top w:val="nil"/>
              <w:left w:val="nil"/>
              <w:bottom w:val="nil"/>
              <w:right w:val="nil"/>
            </w:tcBorders>
          </w:tcPr>
          <w:p w:rsidR="005718AD" w:rsidRPr="00EA550D" w:rsidRDefault="005718AD" w:rsidP="00385F70">
            <w:pPr>
              <w:jc w:val="both"/>
              <w:rPr>
                <w:rFonts w:ascii="Cambria" w:hAnsi="Cambria"/>
                <w:sz w:val="19"/>
              </w:rPr>
            </w:pPr>
            <w:r w:rsidRPr="00EA550D">
              <w:rPr>
                <w:rFonts w:ascii="Cambria" w:hAnsi="Cambria"/>
                <w:sz w:val="19"/>
              </w:rPr>
              <w:t>Institūcijas nosaukums un adrese</w:t>
            </w:r>
          </w:p>
        </w:tc>
        <w:tc>
          <w:tcPr>
            <w:tcW w:w="6521" w:type="dxa"/>
            <w:tcBorders>
              <w:left w:val="nil"/>
              <w:right w:val="nil"/>
            </w:tcBorders>
          </w:tcPr>
          <w:p w:rsidR="005718AD" w:rsidRPr="00EA550D" w:rsidRDefault="005718AD" w:rsidP="00385F70">
            <w:pPr>
              <w:jc w:val="both"/>
              <w:rPr>
                <w:rFonts w:ascii="Cambria" w:hAnsi="Cambria"/>
                <w:snapToGrid w:val="0"/>
                <w:sz w:val="19"/>
              </w:rPr>
            </w:pPr>
          </w:p>
        </w:tc>
      </w:tr>
    </w:tbl>
    <w:p w:rsidR="005718AD" w:rsidRPr="006E1C07" w:rsidRDefault="005718AD" w:rsidP="005718AD">
      <w:pPr>
        <w:spacing w:before="130" w:line="260" w:lineRule="exact"/>
        <w:ind w:firstLine="539"/>
        <w:jc w:val="both"/>
        <w:rPr>
          <w:rFonts w:ascii="Cambria" w:hAnsi="Cambria"/>
          <w:bCs/>
          <w:i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850"/>
        <w:gridCol w:w="1054"/>
        <w:gridCol w:w="1093"/>
        <w:gridCol w:w="1281"/>
        <w:gridCol w:w="1418"/>
      </w:tblGrid>
      <w:tr w:rsidR="005718AD" w:rsidRPr="00EA550D" w:rsidTr="00385F70">
        <w:tc>
          <w:tcPr>
            <w:tcW w:w="5076" w:type="dxa"/>
            <w:vAlign w:val="center"/>
          </w:tcPr>
          <w:p w:rsidR="005718AD" w:rsidRPr="00EA550D" w:rsidRDefault="005718AD" w:rsidP="00385F70">
            <w:pPr>
              <w:jc w:val="center"/>
              <w:rPr>
                <w:rFonts w:ascii="Cambria" w:hAnsi="Cambria"/>
                <w:snapToGrid w:val="0"/>
                <w:sz w:val="19"/>
              </w:rPr>
            </w:pPr>
            <w:r w:rsidRPr="00EA550D">
              <w:rPr>
                <w:rFonts w:ascii="Cambria" w:hAnsi="Cambria"/>
                <w:snapToGrid w:val="0"/>
                <w:sz w:val="19"/>
              </w:rPr>
              <w:t>Personas pašaprūpes, neatkarības un patstāvīgās dzīves spēju novērtēšanas vispārējie kritēriji</w:t>
            </w:r>
          </w:p>
        </w:tc>
        <w:tc>
          <w:tcPr>
            <w:tcW w:w="1134" w:type="dxa"/>
            <w:vAlign w:val="center"/>
          </w:tcPr>
          <w:p w:rsidR="005718AD" w:rsidRPr="00EA550D" w:rsidRDefault="005718AD" w:rsidP="00385F70">
            <w:pPr>
              <w:jc w:val="center"/>
              <w:rPr>
                <w:rFonts w:ascii="Cambria" w:hAnsi="Cambria"/>
                <w:snapToGrid w:val="0"/>
                <w:sz w:val="19"/>
              </w:rPr>
            </w:pPr>
            <w:r w:rsidRPr="00EA550D">
              <w:rPr>
                <w:rFonts w:ascii="Cambria" w:hAnsi="Cambria"/>
                <w:snapToGrid w:val="0"/>
                <w:sz w:val="19"/>
              </w:rPr>
              <w:t>Maksimālā punktu vērtība</w:t>
            </w:r>
          </w:p>
        </w:tc>
        <w:tc>
          <w:tcPr>
            <w:tcW w:w="1134" w:type="dxa"/>
            <w:vAlign w:val="center"/>
          </w:tcPr>
          <w:p w:rsidR="005718AD" w:rsidRPr="00EA550D" w:rsidRDefault="005718AD" w:rsidP="00385F70">
            <w:pPr>
              <w:jc w:val="center"/>
              <w:rPr>
                <w:rFonts w:ascii="Cambria" w:hAnsi="Cambria"/>
                <w:snapToGrid w:val="0"/>
                <w:sz w:val="19"/>
              </w:rPr>
            </w:pPr>
            <w:r w:rsidRPr="00EA550D">
              <w:rPr>
                <w:rFonts w:ascii="Cambria" w:hAnsi="Cambria"/>
                <w:snapToGrid w:val="0"/>
                <w:sz w:val="19"/>
              </w:rPr>
              <w:t xml:space="preserve">Pašaprūpes spēju </w:t>
            </w:r>
            <w:r>
              <w:rPr>
                <w:rFonts w:ascii="Cambria" w:hAnsi="Cambria"/>
                <w:snapToGrid w:val="0"/>
                <w:sz w:val="19"/>
              </w:rPr>
              <w:br/>
            </w:r>
            <w:r w:rsidRPr="00EA550D">
              <w:rPr>
                <w:rFonts w:ascii="Cambria" w:hAnsi="Cambria"/>
                <w:snapToGrid w:val="0"/>
                <w:sz w:val="19"/>
              </w:rPr>
              <w:t>maksimālā procentuālā vērtība</w:t>
            </w:r>
          </w:p>
        </w:tc>
        <w:tc>
          <w:tcPr>
            <w:tcW w:w="1418" w:type="dxa"/>
            <w:vAlign w:val="center"/>
          </w:tcPr>
          <w:p w:rsidR="005718AD" w:rsidRPr="00EA550D" w:rsidRDefault="005718AD" w:rsidP="00385F70">
            <w:pPr>
              <w:jc w:val="center"/>
              <w:rPr>
                <w:rFonts w:ascii="Cambria" w:hAnsi="Cambria"/>
                <w:snapToGrid w:val="0"/>
                <w:sz w:val="19"/>
              </w:rPr>
            </w:pPr>
            <w:r w:rsidRPr="00EA550D">
              <w:rPr>
                <w:rFonts w:ascii="Cambria" w:hAnsi="Cambria"/>
                <w:snapToGrid w:val="0"/>
                <w:sz w:val="19"/>
              </w:rPr>
              <w:t>Iepriekšējās izvērtēšanas rezultāti, ja tāda veikta (dd.mm.gg.)</w:t>
            </w:r>
          </w:p>
        </w:tc>
        <w:tc>
          <w:tcPr>
            <w:tcW w:w="1559" w:type="dxa"/>
            <w:vAlign w:val="center"/>
          </w:tcPr>
          <w:p w:rsidR="005718AD" w:rsidRPr="00EA550D" w:rsidRDefault="005718AD" w:rsidP="00385F70">
            <w:pPr>
              <w:jc w:val="center"/>
              <w:rPr>
                <w:rFonts w:ascii="Cambria" w:hAnsi="Cambria"/>
                <w:sz w:val="19"/>
              </w:rPr>
            </w:pPr>
            <w:r w:rsidRPr="00EA550D">
              <w:rPr>
                <w:rFonts w:ascii="Cambria" w:hAnsi="Cambria"/>
                <w:sz w:val="19"/>
              </w:rPr>
              <w:t>Rekomen</w:t>
            </w:r>
            <w:r w:rsidRPr="00EA550D">
              <w:rPr>
                <w:rFonts w:ascii="Cambria" w:hAnsi="Cambria"/>
                <w:sz w:val="19"/>
              </w:rPr>
              <w:softHyphen/>
              <w:t xml:space="preserve">dējamās darbības </w:t>
            </w:r>
            <w:r w:rsidRPr="00EA550D">
              <w:rPr>
                <w:rFonts w:ascii="Cambria" w:hAnsi="Cambria"/>
                <w:sz w:val="19"/>
              </w:rPr>
              <w:br/>
              <w:t>(ja informācija nepieciešama aprūpes vai rehabilitācijas plāna sastādīšanai)</w:t>
            </w:r>
          </w:p>
        </w:tc>
      </w:tr>
      <w:tr w:rsidR="005718AD" w:rsidRPr="00EA550D" w:rsidTr="00385F70">
        <w:tc>
          <w:tcPr>
            <w:tcW w:w="5076" w:type="dxa"/>
          </w:tcPr>
          <w:p w:rsidR="005718AD" w:rsidRPr="00EA550D" w:rsidRDefault="005718AD" w:rsidP="00385F70">
            <w:pPr>
              <w:pStyle w:val="ListParagraph"/>
              <w:spacing w:after="0" w:line="240" w:lineRule="auto"/>
              <w:ind w:left="0"/>
              <w:contextualSpacing w:val="0"/>
              <w:rPr>
                <w:rFonts w:ascii="Cambria" w:hAnsi="Cambria" w:cs="Times New Roman"/>
                <w:snapToGrid w:val="0"/>
                <w:sz w:val="19"/>
                <w:szCs w:val="24"/>
                <w:u w:val="single"/>
                <w:lang w:eastAsia="lv-LV"/>
              </w:rPr>
            </w:pPr>
            <w:r w:rsidRPr="00EA550D">
              <w:rPr>
                <w:rFonts w:ascii="Cambria" w:hAnsi="Cambria" w:cs="Times New Roman"/>
                <w:snapToGrid w:val="0"/>
                <w:sz w:val="19"/>
                <w:szCs w:val="24"/>
                <w:u w:val="single"/>
                <w:lang w:eastAsia="lv-LV"/>
              </w:rPr>
              <w:t xml:space="preserve">1. Neatkarīgs – 4 punkti </w:t>
            </w:r>
            <w:r w:rsidRPr="00EA550D">
              <w:rPr>
                <w:rFonts w:ascii="Cambria" w:hAnsi="Cambria" w:cs="Times New Roman"/>
                <w:snapToGrid w:val="0"/>
                <w:sz w:val="19"/>
                <w:szCs w:val="24"/>
                <w:lang w:eastAsia="lv-LV"/>
              </w:rPr>
              <w:t>– pilnībā veic patstāvīgi, spējas/funkcionalitāte nav traucēta</w:t>
            </w:r>
          </w:p>
          <w:p w:rsidR="005718AD" w:rsidRPr="00EA550D" w:rsidRDefault="005718AD" w:rsidP="00385F70">
            <w:pPr>
              <w:pStyle w:val="ListParagraph"/>
              <w:spacing w:after="0" w:line="240" w:lineRule="auto"/>
              <w:ind w:left="0"/>
              <w:contextualSpacing w:val="0"/>
              <w:rPr>
                <w:rFonts w:ascii="Cambria" w:hAnsi="Cambria" w:cs="Times New Roman"/>
                <w:snapToGrid w:val="0"/>
                <w:sz w:val="19"/>
                <w:szCs w:val="24"/>
                <w:lang w:eastAsia="lv-LV"/>
              </w:rPr>
            </w:pPr>
            <w:r w:rsidRPr="00EA550D">
              <w:rPr>
                <w:rFonts w:ascii="Cambria" w:hAnsi="Cambria" w:cs="Times New Roman"/>
                <w:snapToGrid w:val="0"/>
                <w:sz w:val="19"/>
                <w:szCs w:val="24"/>
                <w:u w:val="single"/>
                <w:lang w:eastAsia="lv-LV"/>
              </w:rPr>
              <w:t>2. Gandrīz neatkarīgs – 3 punkti</w:t>
            </w:r>
            <w:r w:rsidRPr="00EA550D">
              <w:rPr>
                <w:rFonts w:ascii="Cambria" w:hAnsi="Cambria" w:cs="Times New Roman"/>
                <w:snapToGrid w:val="0"/>
                <w:sz w:val="19"/>
                <w:szCs w:val="24"/>
                <w:lang w:eastAsia="lv-LV"/>
              </w:rPr>
              <w:t xml:space="preserve"> – mēģina un lielākoties spēj veikt patstāvīgi, spējas/funkcionalitāte ir traucēta atsevišķu darbību veikšanai. Nepieciešami pakalpojumi ar funkcijas nodrošināšanu saistīto darbību atbalstam</w:t>
            </w:r>
          </w:p>
          <w:p w:rsidR="005718AD" w:rsidRPr="00EA550D" w:rsidRDefault="005718AD" w:rsidP="00385F70">
            <w:pPr>
              <w:pStyle w:val="ListParagraph"/>
              <w:spacing w:after="0" w:line="240" w:lineRule="auto"/>
              <w:ind w:left="0"/>
              <w:contextualSpacing w:val="0"/>
              <w:rPr>
                <w:rFonts w:ascii="Cambria" w:hAnsi="Cambria" w:cs="Times New Roman"/>
                <w:snapToGrid w:val="0"/>
                <w:sz w:val="19"/>
                <w:szCs w:val="24"/>
                <w:lang w:eastAsia="lv-LV"/>
              </w:rPr>
            </w:pPr>
            <w:r w:rsidRPr="00EA550D">
              <w:rPr>
                <w:rFonts w:ascii="Cambria" w:hAnsi="Cambria" w:cs="Times New Roman"/>
                <w:snapToGrid w:val="0"/>
                <w:sz w:val="19"/>
                <w:szCs w:val="24"/>
                <w:u w:val="single"/>
                <w:lang w:eastAsia="lv-LV"/>
              </w:rPr>
              <w:t>3. Daļēji atkarīgs – 2 punkti</w:t>
            </w:r>
            <w:r w:rsidRPr="00EA550D">
              <w:rPr>
                <w:rFonts w:ascii="Cambria" w:hAnsi="Cambria" w:cs="Times New Roman"/>
                <w:snapToGrid w:val="0"/>
                <w:sz w:val="19"/>
                <w:szCs w:val="24"/>
                <w:lang w:eastAsia="lv-LV"/>
              </w:rPr>
              <w:t xml:space="preserve"> – nespēj veikt patstāvīgi, spējas/funkcionalitāte ir traucēta un bez palīdzības nespēj veikt saistītās darbības. Nepieciešami pakalpojumi ar funkcijas realizāciju saistīto darbību uzturēšanai un atbalstam</w:t>
            </w:r>
          </w:p>
          <w:p w:rsidR="005718AD" w:rsidRPr="00EA550D" w:rsidRDefault="005718AD" w:rsidP="00385F70">
            <w:pPr>
              <w:pStyle w:val="ListParagraph"/>
              <w:spacing w:after="0" w:line="240" w:lineRule="auto"/>
              <w:ind w:left="0"/>
              <w:contextualSpacing w:val="0"/>
              <w:rPr>
                <w:rFonts w:ascii="Cambria" w:hAnsi="Cambria" w:cs="Times New Roman"/>
                <w:snapToGrid w:val="0"/>
                <w:sz w:val="19"/>
                <w:szCs w:val="24"/>
                <w:lang w:eastAsia="lv-LV"/>
              </w:rPr>
            </w:pPr>
            <w:r w:rsidRPr="00EA550D">
              <w:rPr>
                <w:rFonts w:ascii="Cambria" w:hAnsi="Cambria" w:cs="Times New Roman"/>
                <w:snapToGrid w:val="0"/>
                <w:sz w:val="19"/>
                <w:szCs w:val="24"/>
                <w:u w:val="single"/>
                <w:lang w:eastAsia="lv-LV"/>
              </w:rPr>
              <w:t xml:space="preserve">4. Būtiski atkarīgs – 1 punkts </w:t>
            </w:r>
            <w:r w:rsidRPr="00EA550D">
              <w:rPr>
                <w:rFonts w:ascii="Cambria" w:hAnsi="Cambria" w:cs="Times New Roman"/>
                <w:snapToGrid w:val="0"/>
                <w:sz w:val="19"/>
                <w:szCs w:val="24"/>
                <w:lang w:eastAsia="lv-LV"/>
              </w:rPr>
              <w:t>– nespēj veikt patstāvīgi, spējas/funkcionalitāte ir traucēta, nepieciešami pakalpojumi funkcijas kompensēšanai/saistīto darbību aizstāšanai vai uzturēšanai</w:t>
            </w:r>
          </w:p>
          <w:p w:rsidR="005718AD" w:rsidRPr="00EA550D" w:rsidRDefault="005718AD" w:rsidP="00385F70">
            <w:pPr>
              <w:pStyle w:val="ListParagraph"/>
              <w:spacing w:after="0" w:line="240" w:lineRule="auto"/>
              <w:ind w:left="0"/>
              <w:contextualSpacing w:val="0"/>
              <w:rPr>
                <w:rFonts w:ascii="Cambria" w:hAnsi="Cambria" w:cs="Times New Roman"/>
                <w:snapToGrid w:val="0"/>
                <w:sz w:val="19"/>
                <w:szCs w:val="24"/>
                <w:lang w:eastAsia="lv-LV"/>
              </w:rPr>
            </w:pPr>
            <w:r w:rsidRPr="00EA550D">
              <w:rPr>
                <w:rFonts w:ascii="Cambria" w:hAnsi="Cambria" w:cs="Times New Roman"/>
                <w:snapToGrid w:val="0"/>
                <w:sz w:val="19"/>
                <w:szCs w:val="24"/>
                <w:u w:val="single"/>
                <w:lang w:eastAsia="lv-LV"/>
              </w:rPr>
              <w:t>5. Atkarīgs – 0 punktu</w:t>
            </w:r>
            <w:r w:rsidRPr="00EA550D">
              <w:rPr>
                <w:rFonts w:ascii="Cambria" w:hAnsi="Cambria" w:cs="Times New Roman"/>
                <w:snapToGrid w:val="0"/>
                <w:sz w:val="19"/>
                <w:szCs w:val="24"/>
                <w:lang w:eastAsia="lv-LV"/>
              </w:rPr>
              <w:t xml:space="preserve"> – nespēj veikt patstāvīgi, spējas/funkcionalitāte nepiemīt, nepieciešami pakalpojumi spēju kompensēšanai/saistīto darbību pilnīgai aizstāšanai</w:t>
            </w:r>
          </w:p>
        </w:tc>
        <w:tc>
          <w:tcPr>
            <w:tcW w:w="1134" w:type="dxa"/>
            <w:vAlign w:val="center"/>
          </w:tcPr>
          <w:p w:rsidR="005718AD" w:rsidRPr="00EA550D" w:rsidRDefault="005718AD" w:rsidP="00385F70">
            <w:pPr>
              <w:jc w:val="center"/>
              <w:rPr>
                <w:rFonts w:ascii="Cambria" w:hAnsi="Cambria"/>
                <w:snapToGrid w:val="0"/>
                <w:sz w:val="19"/>
              </w:rPr>
            </w:pPr>
          </w:p>
        </w:tc>
        <w:tc>
          <w:tcPr>
            <w:tcW w:w="1134" w:type="dxa"/>
            <w:vAlign w:val="center"/>
          </w:tcPr>
          <w:p w:rsidR="005718AD" w:rsidRPr="00EA550D" w:rsidRDefault="005718AD" w:rsidP="00385F70">
            <w:pPr>
              <w:jc w:val="center"/>
              <w:rPr>
                <w:rFonts w:ascii="Cambria" w:hAnsi="Cambria"/>
                <w:snapToGrid w:val="0"/>
                <w:sz w:val="19"/>
              </w:rPr>
            </w:pPr>
          </w:p>
        </w:tc>
        <w:tc>
          <w:tcPr>
            <w:tcW w:w="1418" w:type="dxa"/>
            <w:vAlign w:val="center"/>
          </w:tcPr>
          <w:p w:rsidR="005718AD" w:rsidRPr="00EA550D" w:rsidRDefault="005718AD" w:rsidP="00385F70">
            <w:pPr>
              <w:jc w:val="center"/>
              <w:rPr>
                <w:rFonts w:ascii="Cambria" w:hAnsi="Cambria"/>
                <w:snapToGrid w:val="0"/>
                <w:sz w:val="19"/>
              </w:rPr>
            </w:pPr>
          </w:p>
        </w:tc>
        <w:tc>
          <w:tcPr>
            <w:tcW w:w="1559" w:type="dxa"/>
            <w:vAlign w:val="center"/>
          </w:tcPr>
          <w:p w:rsidR="005718AD" w:rsidRPr="00EA550D" w:rsidRDefault="005718AD" w:rsidP="00385F70">
            <w:pPr>
              <w:jc w:val="center"/>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hAnsi="Cambria"/>
                <w:snapToGrid w:val="0"/>
                <w:sz w:val="19"/>
              </w:rPr>
            </w:pPr>
            <w:r w:rsidRPr="00EA550D">
              <w:rPr>
                <w:rFonts w:ascii="Cambria" w:hAnsi="Cambria"/>
                <w:sz w:val="19"/>
              </w:rPr>
              <w:t>1. Pamatvajadzības</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16</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20 %</w:t>
            </w: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pStyle w:val="ListParagraph"/>
              <w:spacing w:after="0" w:line="240" w:lineRule="auto"/>
              <w:ind w:left="0"/>
              <w:contextualSpacing w:val="0"/>
              <w:rPr>
                <w:rFonts w:ascii="Cambria" w:eastAsia="Times New Roman" w:hAnsi="Cambria" w:cs="Times New Roman"/>
                <w:snapToGrid w:val="0"/>
                <w:sz w:val="19"/>
                <w:szCs w:val="24"/>
                <w:lang w:eastAsia="lv-LV"/>
              </w:rPr>
            </w:pPr>
            <w:r w:rsidRPr="00EA550D">
              <w:rPr>
                <w:rFonts w:ascii="Cambria" w:eastAsia="Times New Roman" w:hAnsi="Cambria" w:cs="Times New Roman"/>
                <w:snapToGrid w:val="0"/>
                <w:sz w:val="19"/>
                <w:szCs w:val="24"/>
                <w:lang w:eastAsia="lv-LV"/>
              </w:rPr>
              <w:lastRenderedPageBreak/>
              <w:t>1.1. ēšana, dzeršana (tai skaitā spēja sakošļāt un norīt barību)</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pStyle w:val="ListParagraph"/>
              <w:spacing w:after="0" w:line="240" w:lineRule="auto"/>
              <w:ind w:left="0"/>
              <w:contextualSpacing w:val="0"/>
              <w:rPr>
                <w:rFonts w:ascii="Cambria" w:eastAsia="Times New Roman" w:hAnsi="Cambria" w:cs="Times New Roman"/>
                <w:snapToGrid w:val="0"/>
                <w:sz w:val="19"/>
                <w:szCs w:val="24"/>
                <w:lang w:eastAsia="lv-LV"/>
              </w:rPr>
            </w:pPr>
            <w:r w:rsidRPr="00EA550D">
              <w:rPr>
                <w:rFonts w:ascii="Cambria" w:eastAsia="Times New Roman" w:hAnsi="Cambria" w:cs="Times New Roman"/>
                <w:snapToGrid w:val="0"/>
                <w:sz w:val="19"/>
                <w:szCs w:val="24"/>
                <w:lang w:eastAsia="lv-LV"/>
              </w:rPr>
              <w:t>1.2. ēdiena pagatavošana un servēšana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pStyle w:val="ListParagraph"/>
              <w:spacing w:after="0" w:line="240" w:lineRule="auto"/>
              <w:ind w:left="0"/>
              <w:contextualSpacing w:val="0"/>
              <w:rPr>
                <w:rFonts w:ascii="Cambria" w:hAnsi="Cambria" w:cs="Times New Roman"/>
                <w:snapToGrid w:val="0"/>
                <w:sz w:val="19"/>
                <w:szCs w:val="24"/>
                <w:lang w:eastAsia="lv-LV"/>
              </w:rPr>
            </w:pPr>
            <w:r w:rsidRPr="00EA550D">
              <w:rPr>
                <w:rFonts w:ascii="Cambria" w:eastAsia="Times New Roman" w:hAnsi="Cambria" w:cs="Times New Roman"/>
                <w:snapToGrid w:val="0"/>
                <w:sz w:val="19"/>
                <w:szCs w:val="24"/>
                <w:lang w:eastAsia="lv-LV"/>
              </w:rPr>
              <w:t>1.3. pārtikas un rūpniecības preču uzkrājumu veidošana (iepirkšana)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1.4. fizioloģiskā funkcionēšana (piemēram, spējas patstāvīgi elpot vai kompensēt elpas trūkumu ar zālēm vai ierīcēm, kontrolēt asinsspiedienu)</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hAnsi="Cambria"/>
                <w:snapToGrid w:val="0"/>
                <w:sz w:val="19"/>
              </w:rPr>
            </w:pPr>
            <w:r w:rsidRPr="00EA550D">
              <w:rPr>
                <w:rFonts w:ascii="Cambria" w:hAnsi="Cambria"/>
                <w:snapToGrid w:val="0"/>
                <w:sz w:val="19"/>
              </w:rPr>
              <w:t>2. Mobilitāte</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16</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 xml:space="preserve">20 % </w:t>
            </w: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2.1. pārvietošanās (piemēram, no gultas uz krēslu un atpakaļ)</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2.2. kustīgums (piemēram, spēja pārvietoties mājoklī un ārpus tā)</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u w:val="single"/>
              </w:rPr>
            </w:pPr>
            <w:r w:rsidRPr="00EA550D">
              <w:rPr>
                <w:rFonts w:ascii="Cambria" w:hAnsi="Cambria"/>
                <w:snapToGrid w:val="0"/>
                <w:sz w:val="19"/>
              </w:rPr>
              <w:t>2.3. kāpnes (piemēram, spēja pārvietoties pa kāpnēm)</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2.4. ģērbšanās (piemēram, spēja uzturēt mobilitāti)</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hAnsi="Cambria"/>
                <w:snapToGrid w:val="0"/>
                <w:sz w:val="19"/>
              </w:rPr>
            </w:pPr>
            <w:r w:rsidRPr="00EA550D">
              <w:rPr>
                <w:rFonts w:ascii="Cambria" w:hAnsi="Cambria"/>
                <w:snapToGrid w:val="0"/>
                <w:sz w:val="19"/>
              </w:rPr>
              <w:t>3. Sevis apzināšanās, kognitīvās spējas un drošība</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20</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15 %</w:t>
            </w: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pStyle w:val="ListParagraph"/>
              <w:spacing w:after="0" w:line="240" w:lineRule="auto"/>
              <w:ind w:left="0"/>
              <w:contextualSpacing w:val="0"/>
              <w:rPr>
                <w:rFonts w:ascii="Cambria" w:hAnsi="Cambria" w:cs="Times New Roman"/>
                <w:i/>
                <w:snapToGrid w:val="0"/>
                <w:sz w:val="19"/>
                <w:szCs w:val="24"/>
                <w:lang w:eastAsia="lv-LV"/>
              </w:rPr>
            </w:pPr>
            <w:r w:rsidRPr="00EA550D">
              <w:rPr>
                <w:rFonts w:ascii="Cambria" w:eastAsia="Times New Roman" w:hAnsi="Cambria" w:cs="Times New Roman"/>
                <w:snapToGrid w:val="0"/>
                <w:sz w:val="19"/>
                <w:szCs w:val="24"/>
                <w:lang w:eastAsia="lv-LV"/>
              </w:rPr>
              <w:t>3.1. izpratne par sevi un savām vajadzībām</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u w:val="single"/>
              </w:rPr>
            </w:pPr>
            <w:r w:rsidRPr="00EA550D">
              <w:rPr>
                <w:rFonts w:ascii="Cambria" w:hAnsi="Cambria"/>
                <w:snapToGrid w:val="0"/>
                <w:sz w:val="19"/>
              </w:rPr>
              <w:t>3.2. kognitīvās spējas – sajust, uztvert, atcerēties, domāt, analizēt un iztēloties</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u w:val="single"/>
              </w:rPr>
            </w:pPr>
            <w:r w:rsidRPr="00EA550D">
              <w:rPr>
                <w:rFonts w:ascii="Cambria" w:hAnsi="Cambria"/>
                <w:snapToGrid w:val="0"/>
                <w:sz w:val="19"/>
              </w:rPr>
              <w:t>3.3. orientācija laikā un telpā</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u w:val="single"/>
              </w:rPr>
            </w:pPr>
            <w:r w:rsidRPr="00EA550D">
              <w:rPr>
                <w:rFonts w:ascii="Cambria" w:hAnsi="Cambria"/>
                <w:snapToGrid w:val="0"/>
                <w:sz w:val="19"/>
              </w:rPr>
              <w:t>3.4. sazināšanās prasmes</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3.5. drošības sajūta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rPr>
                <w:rFonts w:ascii="Cambria" w:hAnsi="Cambria"/>
                <w:snapToGrid w:val="0"/>
                <w:sz w:val="19"/>
              </w:rPr>
            </w:pPr>
            <w:r w:rsidRPr="00EA550D">
              <w:rPr>
                <w:rFonts w:ascii="Cambria" w:hAnsi="Cambria"/>
                <w:snapToGrid w:val="0"/>
                <w:sz w:val="19"/>
              </w:rPr>
              <w:t>4. Uzvedība un sociālie kontakti</w:t>
            </w:r>
          </w:p>
        </w:tc>
        <w:tc>
          <w:tcPr>
            <w:tcW w:w="1134" w:type="dxa"/>
          </w:tcPr>
          <w:p w:rsidR="005718AD" w:rsidRPr="00EA550D" w:rsidRDefault="005718AD" w:rsidP="00385F70">
            <w:pPr>
              <w:suppressAutoHyphens/>
              <w:autoSpaceDN w:val="0"/>
              <w:jc w:val="both"/>
              <w:rPr>
                <w:rFonts w:ascii="Cambria" w:eastAsia="Calibri" w:hAnsi="Cambria"/>
                <w:snapToGrid w:val="0"/>
                <w:sz w:val="19"/>
              </w:rPr>
            </w:pPr>
            <w:r w:rsidRPr="00EA550D">
              <w:rPr>
                <w:rFonts w:ascii="Cambria" w:eastAsia="Calibri" w:hAnsi="Cambria"/>
                <w:snapToGrid w:val="0"/>
                <w:sz w:val="19"/>
              </w:rPr>
              <w:t>12</w:t>
            </w:r>
          </w:p>
        </w:tc>
        <w:tc>
          <w:tcPr>
            <w:tcW w:w="1134" w:type="dxa"/>
          </w:tcPr>
          <w:p w:rsidR="005718AD" w:rsidRPr="00EA550D" w:rsidRDefault="005718AD" w:rsidP="00385F70">
            <w:pPr>
              <w:suppressAutoHyphens/>
              <w:autoSpaceDN w:val="0"/>
              <w:jc w:val="both"/>
              <w:rPr>
                <w:rFonts w:ascii="Cambria" w:eastAsia="Calibri" w:hAnsi="Cambria"/>
                <w:snapToGrid w:val="0"/>
                <w:sz w:val="19"/>
              </w:rPr>
            </w:pPr>
            <w:r w:rsidRPr="00EA550D">
              <w:rPr>
                <w:rFonts w:ascii="Cambria" w:eastAsia="Calibri" w:hAnsi="Cambria"/>
                <w:snapToGrid w:val="0"/>
                <w:sz w:val="19"/>
              </w:rPr>
              <w:t>9 %</w:t>
            </w: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i/>
                <w:snapToGrid w:val="0"/>
                <w:sz w:val="19"/>
              </w:rPr>
            </w:pPr>
            <w:r w:rsidRPr="00EA550D">
              <w:rPr>
                <w:rFonts w:ascii="Cambria" w:hAnsi="Cambria"/>
                <w:snapToGrid w:val="0"/>
                <w:sz w:val="19"/>
              </w:rPr>
              <w:t>4.1. paškontroles spējas</w:t>
            </w: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4.2. spējas veidot un uzturēt sociālos kontaktus</w:t>
            </w: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4.3. spēja kārtot darījumus (piemēram, maksāt rēķinus), piedalīties un organizēt saturīgu brīvo un darba laiku</w:t>
            </w: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rPr>
                <w:rFonts w:ascii="Cambria" w:hAnsi="Cambria"/>
                <w:snapToGrid w:val="0"/>
                <w:sz w:val="19"/>
              </w:rPr>
            </w:pPr>
            <w:r w:rsidRPr="00EA550D">
              <w:rPr>
                <w:rFonts w:ascii="Cambria" w:hAnsi="Cambria"/>
                <w:snapToGrid w:val="0"/>
                <w:sz w:val="19"/>
              </w:rPr>
              <w:t>5. Personiskā higiēna</w:t>
            </w:r>
          </w:p>
        </w:tc>
        <w:tc>
          <w:tcPr>
            <w:tcW w:w="1134" w:type="dxa"/>
          </w:tcPr>
          <w:p w:rsidR="005718AD" w:rsidRPr="00EA550D" w:rsidRDefault="005718AD" w:rsidP="00385F70">
            <w:pPr>
              <w:suppressAutoHyphens/>
              <w:autoSpaceDN w:val="0"/>
              <w:jc w:val="both"/>
              <w:rPr>
                <w:rFonts w:ascii="Cambria" w:eastAsia="Calibri" w:hAnsi="Cambria"/>
                <w:snapToGrid w:val="0"/>
                <w:sz w:val="19"/>
              </w:rPr>
            </w:pPr>
            <w:r w:rsidRPr="00EA550D">
              <w:rPr>
                <w:rFonts w:ascii="Cambria" w:eastAsia="Calibri" w:hAnsi="Cambria"/>
                <w:snapToGrid w:val="0"/>
                <w:sz w:val="19"/>
              </w:rPr>
              <w:t>24</w:t>
            </w:r>
          </w:p>
        </w:tc>
        <w:tc>
          <w:tcPr>
            <w:tcW w:w="1134" w:type="dxa"/>
          </w:tcPr>
          <w:p w:rsidR="005718AD" w:rsidRPr="00EA550D" w:rsidRDefault="005718AD" w:rsidP="00385F70">
            <w:pPr>
              <w:suppressAutoHyphens/>
              <w:autoSpaceDN w:val="0"/>
              <w:jc w:val="both"/>
              <w:rPr>
                <w:rFonts w:ascii="Cambria" w:eastAsia="Calibri" w:hAnsi="Cambria"/>
                <w:snapToGrid w:val="0"/>
                <w:sz w:val="19"/>
              </w:rPr>
            </w:pPr>
            <w:r w:rsidRPr="00EA550D">
              <w:rPr>
                <w:rFonts w:ascii="Cambria" w:eastAsia="Calibri" w:hAnsi="Cambria"/>
                <w:snapToGrid w:val="0"/>
                <w:sz w:val="19"/>
              </w:rPr>
              <w:t>30 %</w:t>
            </w: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rPr>
                <w:rFonts w:ascii="Cambria" w:eastAsia="Calibri" w:hAnsi="Cambria"/>
                <w:snapToGrid w:val="0"/>
                <w:sz w:val="19"/>
              </w:rPr>
            </w:pPr>
            <w:r w:rsidRPr="00EA550D">
              <w:rPr>
                <w:rFonts w:ascii="Cambria" w:hAnsi="Cambria"/>
                <w:snapToGrid w:val="0"/>
                <w:sz w:val="19"/>
              </w:rPr>
              <w:t>5.1. rūpes par izskatu</w:t>
            </w: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eastAsia="Calibri" w:hAnsi="Cambria"/>
                <w:snapToGrid w:val="0"/>
                <w:sz w:val="19"/>
              </w:rPr>
            </w:pPr>
            <w:r w:rsidRPr="00EA550D">
              <w:rPr>
                <w:rFonts w:ascii="Cambria" w:hAnsi="Cambria"/>
                <w:snapToGrid w:val="0"/>
                <w:sz w:val="19"/>
              </w:rPr>
              <w:t>5.2. vannošanās</w:t>
            </w:r>
          </w:p>
        </w:tc>
        <w:tc>
          <w:tcPr>
            <w:tcW w:w="1134" w:type="dxa"/>
          </w:tcPr>
          <w:p w:rsidR="005718AD" w:rsidRPr="00EA550D" w:rsidRDefault="005718AD" w:rsidP="00385F70">
            <w:pPr>
              <w:jc w:val="both"/>
              <w:rPr>
                <w:rFonts w:ascii="Cambria" w:hAnsi="Cambria"/>
                <w:snapToGrid w:val="0"/>
                <w:sz w:val="19"/>
              </w:rPr>
            </w:pPr>
          </w:p>
        </w:tc>
        <w:tc>
          <w:tcPr>
            <w:tcW w:w="1134" w:type="dxa"/>
            <w:tcBorders>
              <w:bottom w:val="single" w:sz="4" w:space="0" w:color="auto"/>
            </w:tcBorders>
          </w:tcPr>
          <w:p w:rsidR="005718AD" w:rsidRPr="00EA550D" w:rsidRDefault="005718AD" w:rsidP="00385F70">
            <w:pPr>
              <w:jc w:val="both"/>
              <w:rPr>
                <w:rFonts w:ascii="Cambria" w:hAnsi="Cambria"/>
                <w:snapToGrid w:val="0"/>
                <w:sz w:val="19"/>
              </w:rPr>
            </w:pPr>
          </w:p>
        </w:tc>
        <w:tc>
          <w:tcPr>
            <w:tcW w:w="1418" w:type="dxa"/>
            <w:tcBorders>
              <w:bottom w:val="single" w:sz="4" w:space="0" w:color="auto"/>
            </w:tcBorders>
          </w:tcPr>
          <w:p w:rsidR="005718AD" w:rsidRPr="00EA550D" w:rsidRDefault="005718AD" w:rsidP="00385F70">
            <w:pPr>
              <w:jc w:val="both"/>
              <w:rPr>
                <w:rFonts w:ascii="Cambria" w:hAnsi="Cambria"/>
                <w:snapToGrid w:val="0"/>
                <w:sz w:val="19"/>
              </w:rPr>
            </w:pPr>
          </w:p>
        </w:tc>
        <w:tc>
          <w:tcPr>
            <w:tcW w:w="1559" w:type="dxa"/>
            <w:tcBorders>
              <w:bottom w:val="single" w:sz="4" w:space="0" w:color="auto"/>
            </w:tcBorders>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eastAsia="Calibri" w:hAnsi="Cambria"/>
                <w:snapToGrid w:val="0"/>
                <w:sz w:val="19"/>
              </w:rPr>
            </w:pPr>
            <w:r w:rsidRPr="00EA550D">
              <w:rPr>
                <w:rFonts w:ascii="Cambria" w:hAnsi="Cambria"/>
                <w:snapToGrid w:val="0"/>
                <w:sz w:val="19"/>
              </w:rPr>
              <w:t>5.3. vēdera izeja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eastAsia="Calibri" w:hAnsi="Cambria"/>
                <w:snapToGrid w:val="0"/>
                <w:sz w:val="19"/>
              </w:rPr>
            </w:pPr>
            <w:r w:rsidRPr="00EA550D">
              <w:rPr>
                <w:rFonts w:ascii="Cambria" w:hAnsi="Cambria"/>
                <w:snapToGrid w:val="0"/>
                <w:sz w:val="19"/>
              </w:rPr>
              <w:t>5.4. urinācija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tabs>
                <w:tab w:val="left" w:pos="7687"/>
              </w:tabs>
              <w:suppressAutoHyphens/>
              <w:autoSpaceDN w:val="0"/>
              <w:rPr>
                <w:rFonts w:ascii="Cambria" w:eastAsia="Calibri" w:hAnsi="Cambria"/>
                <w:snapToGrid w:val="0"/>
                <w:sz w:val="19"/>
              </w:rPr>
            </w:pPr>
            <w:r w:rsidRPr="00EA550D">
              <w:rPr>
                <w:rFonts w:ascii="Cambria" w:hAnsi="Cambria"/>
                <w:snapToGrid w:val="0"/>
                <w:sz w:val="19"/>
              </w:rPr>
              <w:t>5.5. tualetes apmeklēšana</w:t>
            </w: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134" w:type="dxa"/>
          </w:tcPr>
          <w:p w:rsidR="005718AD" w:rsidRPr="00EA550D" w:rsidRDefault="005718AD" w:rsidP="00385F70">
            <w:pPr>
              <w:suppressAutoHyphens/>
              <w:autoSpaceDN w:val="0"/>
              <w:jc w:val="both"/>
              <w:rPr>
                <w:rFonts w:ascii="Cambria" w:eastAsia="Calibri" w:hAnsi="Cambria"/>
                <w:snapToGrid w:val="0"/>
                <w:sz w:val="19"/>
              </w:rPr>
            </w:pP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eastAsia="Calibri" w:hAnsi="Cambria"/>
                <w:snapToGrid w:val="0"/>
                <w:sz w:val="19"/>
              </w:rPr>
            </w:pPr>
            <w:r w:rsidRPr="00EA550D">
              <w:rPr>
                <w:rFonts w:ascii="Cambria" w:hAnsi="Cambria"/>
                <w:snapToGrid w:val="0"/>
                <w:sz w:val="19"/>
              </w:rPr>
              <w:t>5.6. medikamentu lietošana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hAnsi="Cambria"/>
                <w:snapToGrid w:val="0"/>
                <w:sz w:val="19"/>
              </w:rPr>
            </w:pPr>
            <w:r w:rsidRPr="00EA550D">
              <w:rPr>
                <w:rFonts w:ascii="Cambria" w:hAnsi="Cambria"/>
                <w:snapToGrid w:val="0"/>
                <w:sz w:val="19"/>
              </w:rPr>
              <w:t>6. Palīdzība mājsaimniecībā</w:t>
            </w:r>
          </w:p>
        </w:tc>
        <w:tc>
          <w:tcPr>
            <w:tcW w:w="1134" w:type="dxa"/>
          </w:tcPr>
          <w:p w:rsidR="005718AD" w:rsidRPr="00EA550D" w:rsidRDefault="005718AD" w:rsidP="00385F70">
            <w:pPr>
              <w:suppressAutoHyphens/>
              <w:autoSpaceDN w:val="0"/>
              <w:jc w:val="both"/>
              <w:rPr>
                <w:rFonts w:ascii="Cambria" w:eastAsia="Calibri" w:hAnsi="Cambria"/>
                <w:snapToGrid w:val="0"/>
                <w:sz w:val="19"/>
              </w:rPr>
            </w:pPr>
            <w:r w:rsidRPr="00EA550D">
              <w:rPr>
                <w:rFonts w:ascii="Cambria" w:eastAsia="Calibri" w:hAnsi="Cambria"/>
                <w:snapToGrid w:val="0"/>
                <w:sz w:val="19"/>
              </w:rPr>
              <w:t>12</w:t>
            </w:r>
          </w:p>
        </w:tc>
        <w:tc>
          <w:tcPr>
            <w:tcW w:w="1134" w:type="dxa"/>
          </w:tcPr>
          <w:p w:rsidR="005718AD" w:rsidRPr="00EA550D" w:rsidRDefault="005718AD" w:rsidP="00385F70">
            <w:pPr>
              <w:suppressAutoHyphens/>
              <w:autoSpaceDN w:val="0"/>
              <w:jc w:val="both"/>
              <w:rPr>
                <w:rFonts w:ascii="Cambria" w:eastAsia="Calibri" w:hAnsi="Cambria"/>
                <w:snapToGrid w:val="0"/>
                <w:sz w:val="19"/>
              </w:rPr>
            </w:pPr>
            <w:r w:rsidRPr="00EA550D">
              <w:rPr>
                <w:rFonts w:ascii="Cambria" w:eastAsia="Calibri" w:hAnsi="Cambria"/>
                <w:snapToGrid w:val="0"/>
                <w:sz w:val="19"/>
              </w:rPr>
              <w:t>6 %</w:t>
            </w:r>
          </w:p>
        </w:tc>
        <w:tc>
          <w:tcPr>
            <w:tcW w:w="1418" w:type="dxa"/>
          </w:tcPr>
          <w:p w:rsidR="005718AD" w:rsidRPr="00EA550D" w:rsidRDefault="005718AD" w:rsidP="00385F70">
            <w:pPr>
              <w:suppressAutoHyphens/>
              <w:autoSpaceDN w:val="0"/>
              <w:jc w:val="both"/>
              <w:rPr>
                <w:rFonts w:ascii="Cambria" w:eastAsia="Calibri" w:hAnsi="Cambria"/>
                <w:snapToGrid w:val="0"/>
                <w:sz w:val="19"/>
              </w:rPr>
            </w:pPr>
          </w:p>
        </w:tc>
        <w:tc>
          <w:tcPr>
            <w:tcW w:w="1559" w:type="dxa"/>
          </w:tcPr>
          <w:p w:rsidR="005718AD" w:rsidRPr="00EA550D" w:rsidRDefault="005718AD" w:rsidP="00385F70">
            <w:pPr>
              <w:suppressAutoHyphens/>
              <w:autoSpaceDN w:val="0"/>
              <w:jc w:val="both"/>
              <w:rPr>
                <w:rFonts w:ascii="Cambria" w:eastAsia="Calibri"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eastAsia="Calibri" w:hAnsi="Cambria"/>
                <w:snapToGrid w:val="0"/>
                <w:sz w:val="19"/>
              </w:rPr>
            </w:pPr>
            <w:r w:rsidRPr="00EA550D">
              <w:rPr>
                <w:rFonts w:ascii="Cambria" w:hAnsi="Cambria"/>
                <w:snapToGrid w:val="0"/>
                <w:sz w:val="19"/>
              </w:rPr>
              <w:t>6.1. mājas darbi</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tabs>
                <w:tab w:val="left" w:pos="7687"/>
              </w:tabs>
              <w:rPr>
                <w:rFonts w:ascii="Cambria" w:eastAsia="Calibri" w:hAnsi="Cambria"/>
                <w:snapToGrid w:val="0"/>
                <w:sz w:val="19"/>
              </w:rPr>
            </w:pPr>
            <w:r w:rsidRPr="00EA550D">
              <w:rPr>
                <w:rFonts w:ascii="Cambria" w:hAnsi="Cambria"/>
                <w:snapToGrid w:val="0"/>
                <w:sz w:val="19"/>
              </w:rPr>
              <w:t>6.2. veļas mazgāšana</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tabs>
                <w:tab w:val="left" w:pos="7687"/>
              </w:tabs>
              <w:suppressAutoHyphens/>
              <w:autoSpaceDN w:val="0"/>
              <w:rPr>
                <w:rFonts w:ascii="Cambria" w:eastAsia="Calibri" w:hAnsi="Cambria"/>
                <w:snapToGrid w:val="0"/>
                <w:sz w:val="19"/>
                <w:u w:val="single"/>
              </w:rPr>
            </w:pPr>
            <w:r w:rsidRPr="00EA550D">
              <w:rPr>
                <w:rFonts w:ascii="Cambria" w:hAnsi="Cambria"/>
                <w:snapToGrid w:val="0"/>
                <w:sz w:val="19"/>
              </w:rPr>
              <w:t>6.3. mājsaimniecības atbalsts, starpnieka pakalpojumi</w:t>
            </w:r>
          </w:p>
        </w:tc>
        <w:tc>
          <w:tcPr>
            <w:tcW w:w="1134" w:type="dxa"/>
          </w:tcPr>
          <w:p w:rsidR="005718AD" w:rsidRPr="00EA550D" w:rsidRDefault="005718AD" w:rsidP="00385F70">
            <w:pPr>
              <w:jc w:val="both"/>
              <w:rPr>
                <w:rFonts w:ascii="Cambria" w:hAnsi="Cambria"/>
                <w:snapToGrid w:val="0"/>
                <w:sz w:val="19"/>
              </w:rPr>
            </w:pPr>
          </w:p>
        </w:tc>
        <w:tc>
          <w:tcPr>
            <w:tcW w:w="1134" w:type="dxa"/>
          </w:tcPr>
          <w:p w:rsidR="005718AD" w:rsidRPr="00EA550D" w:rsidRDefault="005718AD" w:rsidP="00385F70">
            <w:pPr>
              <w:jc w:val="both"/>
              <w:rPr>
                <w:rFonts w:ascii="Cambria" w:hAnsi="Cambria"/>
                <w:snapToGrid w:val="0"/>
                <w:sz w:val="19"/>
              </w:rPr>
            </w:pP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r w:rsidR="005718AD" w:rsidRPr="00EA550D" w:rsidTr="00385F70">
        <w:tc>
          <w:tcPr>
            <w:tcW w:w="5076" w:type="dxa"/>
          </w:tcPr>
          <w:p w:rsidR="005718AD" w:rsidRPr="00EA550D" w:rsidRDefault="005718AD" w:rsidP="00385F70">
            <w:pPr>
              <w:suppressAutoHyphens/>
              <w:autoSpaceDN w:val="0"/>
              <w:jc w:val="right"/>
              <w:rPr>
                <w:rFonts w:ascii="Cambria" w:eastAsia="Calibri" w:hAnsi="Cambria"/>
                <w:snapToGrid w:val="0"/>
                <w:sz w:val="19"/>
              </w:rPr>
            </w:pPr>
            <w:r w:rsidRPr="00EA550D">
              <w:rPr>
                <w:rFonts w:ascii="Cambria" w:eastAsia="Calibri" w:hAnsi="Cambria"/>
                <w:snapToGrid w:val="0"/>
                <w:sz w:val="19"/>
              </w:rPr>
              <w:t xml:space="preserve">Kopā </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100</w:t>
            </w:r>
          </w:p>
        </w:tc>
        <w:tc>
          <w:tcPr>
            <w:tcW w:w="1134" w:type="dxa"/>
          </w:tcPr>
          <w:p w:rsidR="005718AD" w:rsidRPr="00EA550D" w:rsidRDefault="005718AD" w:rsidP="00385F70">
            <w:pPr>
              <w:jc w:val="both"/>
              <w:rPr>
                <w:rFonts w:ascii="Cambria" w:hAnsi="Cambria"/>
                <w:snapToGrid w:val="0"/>
                <w:sz w:val="19"/>
              </w:rPr>
            </w:pPr>
            <w:r w:rsidRPr="00EA550D">
              <w:rPr>
                <w:rFonts w:ascii="Cambria" w:hAnsi="Cambria"/>
                <w:snapToGrid w:val="0"/>
                <w:sz w:val="19"/>
              </w:rPr>
              <w:t>100 %</w:t>
            </w:r>
          </w:p>
        </w:tc>
        <w:tc>
          <w:tcPr>
            <w:tcW w:w="1418" w:type="dxa"/>
          </w:tcPr>
          <w:p w:rsidR="005718AD" w:rsidRPr="00EA550D" w:rsidRDefault="005718AD" w:rsidP="00385F70">
            <w:pPr>
              <w:jc w:val="both"/>
              <w:rPr>
                <w:rFonts w:ascii="Cambria" w:hAnsi="Cambria"/>
                <w:snapToGrid w:val="0"/>
                <w:sz w:val="19"/>
              </w:rPr>
            </w:pPr>
          </w:p>
        </w:tc>
        <w:tc>
          <w:tcPr>
            <w:tcW w:w="1559" w:type="dxa"/>
          </w:tcPr>
          <w:p w:rsidR="005718AD" w:rsidRPr="00EA550D" w:rsidRDefault="005718AD" w:rsidP="00385F70">
            <w:pPr>
              <w:jc w:val="both"/>
              <w:rPr>
                <w:rFonts w:ascii="Cambria" w:hAnsi="Cambria"/>
                <w:snapToGrid w:val="0"/>
                <w:sz w:val="19"/>
              </w:rPr>
            </w:pPr>
          </w:p>
        </w:tc>
      </w:tr>
    </w:tbl>
    <w:p w:rsidR="005718AD" w:rsidRPr="00EA550D" w:rsidRDefault="005718AD" w:rsidP="005718AD">
      <w:pPr>
        <w:spacing w:line="260" w:lineRule="exact"/>
        <w:ind w:firstLine="539"/>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7"/>
        <w:gridCol w:w="5249"/>
      </w:tblGrid>
      <w:tr w:rsidR="005718AD" w:rsidRPr="00EA550D" w:rsidTr="00385F70">
        <w:tc>
          <w:tcPr>
            <w:tcW w:w="3652" w:type="dxa"/>
            <w:shd w:val="clear" w:color="auto" w:fill="auto"/>
          </w:tcPr>
          <w:p w:rsidR="005718AD" w:rsidRPr="00EA550D" w:rsidRDefault="005718AD" w:rsidP="00385F70">
            <w:pPr>
              <w:jc w:val="both"/>
              <w:rPr>
                <w:rFonts w:ascii="Cambria" w:hAnsi="Cambria"/>
                <w:sz w:val="19"/>
              </w:rPr>
            </w:pPr>
            <w:r w:rsidRPr="00EA550D">
              <w:rPr>
                <w:rFonts w:ascii="Cambria" w:hAnsi="Cambria"/>
                <w:bCs/>
                <w:iCs/>
                <w:sz w:val="19"/>
              </w:rPr>
              <w:br w:type="page"/>
            </w:r>
            <w:r w:rsidRPr="00EA550D">
              <w:rPr>
                <w:rFonts w:ascii="Cambria" w:hAnsi="Cambria"/>
                <w:sz w:val="19"/>
              </w:rPr>
              <w:t>Noteiktais aprūpes līmenis*</w:t>
            </w:r>
          </w:p>
        </w:tc>
        <w:tc>
          <w:tcPr>
            <w:tcW w:w="5670" w:type="dxa"/>
          </w:tcPr>
          <w:p w:rsidR="005718AD" w:rsidRPr="00EA550D" w:rsidRDefault="005718AD" w:rsidP="00385F70">
            <w:pPr>
              <w:jc w:val="both"/>
              <w:rPr>
                <w:rFonts w:ascii="Cambria" w:hAnsi="Cambria"/>
                <w:sz w:val="19"/>
              </w:rPr>
            </w:pPr>
          </w:p>
        </w:tc>
      </w:tr>
      <w:tr w:rsidR="005718AD" w:rsidRPr="00EA550D" w:rsidTr="00385F70">
        <w:tc>
          <w:tcPr>
            <w:tcW w:w="3652" w:type="dxa"/>
            <w:shd w:val="clear" w:color="auto" w:fill="auto"/>
          </w:tcPr>
          <w:p w:rsidR="005718AD" w:rsidRPr="00EA550D" w:rsidRDefault="005718AD" w:rsidP="00385F70">
            <w:pPr>
              <w:jc w:val="both"/>
              <w:rPr>
                <w:rFonts w:ascii="Cambria" w:hAnsi="Cambria"/>
                <w:sz w:val="19"/>
              </w:rPr>
            </w:pPr>
            <w:r w:rsidRPr="00EA550D">
              <w:rPr>
                <w:rFonts w:ascii="Cambria" w:hAnsi="Cambria"/>
                <w:sz w:val="19"/>
              </w:rPr>
              <w:lastRenderedPageBreak/>
              <w:t>Speciālista paraksts**</w:t>
            </w:r>
          </w:p>
        </w:tc>
        <w:tc>
          <w:tcPr>
            <w:tcW w:w="5670" w:type="dxa"/>
          </w:tcPr>
          <w:p w:rsidR="005718AD" w:rsidRPr="00EA550D" w:rsidRDefault="005718AD" w:rsidP="00385F70">
            <w:pPr>
              <w:jc w:val="both"/>
              <w:rPr>
                <w:rFonts w:ascii="Cambria" w:hAnsi="Cambria"/>
                <w:sz w:val="19"/>
              </w:rPr>
            </w:pPr>
          </w:p>
        </w:tc>
      </w:tr>
    </w:tbl>
    <w:p w:rsidR="005718AD" w:rsidRPr="006E1C07" w:rsidRDefault="005718AD" w:rsidP="005718AD">
      <w:pPr>
        <w:spacing w:before="130" w:line="260" w:lineRule="exact"/>
        <w:ind w:firstLine="539"/>
        <w:jc w:val="both"/>
        <w:rPr>
          <w:rFonts w:ascii="Cambria" w:hAnsi="Cambria"/>
          <w:sz w:val="19"/>
        </w:rPr>
      </w:pPr>
    </w:p>
    <w:p w:rsidR="005718AD" w:rsidRPr="00EA550D" w:rsidRDefault="005718AD" w:rsidP="005718AD">
      <w:pPr>
        <w:spacing w:before="130" w:line="260" w:lineRule="exact"/>
        <w:ind w:firstLine="539"/>
        <w:jc w:val="both"/>
        <w:rPr>
          <w:rFonts w:ascii="Cambria" w:hAnsi="Cambria"/>
          <w:sz w:val="17"/>
          <w:szCs w:val="17"/>
        </w:rPr>
      </w:pPr>
      <w:r w:rsidRPr="00EA550D">
        <w:rPr>
          <w:rFonts w:ascii="Cambria" w:hAnsi="Cambria"/>
          <w:sz w:val="17"/>
          <w:szCs w:val="17"/>
        </w:rPr>
        <w:t>Piezīmes.</w:t>
      </w:r>
    </w:p>
    <w:p w:rsidR="005718AD" w:rsidRPr="00EA550D" w:rsidRDefault="005718AD" w:rsidP="005718AD">
      <w:pPr>
        <w:spacing w:line="260" w:lineRule="exact"/>
        <w:ind w:firstLine="539"/>
        <w:jc w:val="both"/>
        <w:rPr>
          <w:rFonts w:ascii="Cambria" w:hAnsi="Cambria"/>
          <w:sz w:val="17"/>
          <w:szCs w:val="17"/>
        </w:rPr>
      </w:pPr>
      <w:r w:rsidRPr="00EA550D">
        <w:rPr>
          <w:rFonts w:ascii="Cambria" w:hAnsi="Cambria"/>
          <w:snapToGrid w:val="0"/>
          <w:sz w:val="17"/>
          <w:szCs w:val="17"/>
        </w:rPr>
        <w:t>1. *</w:t>
      </w:r>
      <w:r w:rsidRPr="00EA550D">
        <w:rPr>
          <w:rFonts w:ascii="Cambria" w:hAnsi="Cambria"/>
          <w:sz w:val="17"/>
          <w:szCs w:val="17"/>
        </w:rPr>
        <w:t xml:space="preserve">Punktu sadalījums pa aprūpes līmeņiem: </w:t>
      </w:r>
    </w:p>
    <w:p w:rsidR="005718AD" w:rsidRPr="00EA550D" w:rsidRDefault="005718AD" w:rsidP="005718AD">
      <w:pPr>
        <w:spacing w:line="260" w:lineRule="exact"/>
        <w:ind w:firstLine="539"/>
        <w:jc w:val="both"/>
        <w:rPr>
          <w:rFonts w:ascii="Cambria" w:hAnsi="Cambria"/>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76"/>
        <w:gridCol w:w="1597"/>
        <w:gridCol w:w="5123"/>
      </w:tblGrid>
      <w:tr w:rsidR="005718AD" w:rsidRPr="00EA550D" w:rsidTr="00385F70">
        <w:tc>
          <w:tcPr>
            <w:tcW w:w="2093" w:type="dxa"/>
          </w:tcPr>
          <w:p w:rsidR="005718AD" w:rsidRPr="00EA550D" w:rsidRDefault="005718AD" w:rsidP="00385F70">
            <w:pPr>
              <w:jc w:val="center"/>
              <w:rPr>
                <w:rFonts w:ascii="Cambria" w:hAnsi="Cambria"/>
                <w:snapToGrid w:val="0"/>
                <w:sz w:val="17"/>
                <w:szCs w:val="17"/>
              </w:rPr>
            </w:pPr>
            <w:r w:rsidRPr="00EA550D">
              <w:rPr>
                <w:rFonts w:ascii="Cambria" w:hAnsi="Cambria"/>
                <w:snapToGrid w:val="0"/>
                <w:sz w:val="17"/>
                <w:szCs w:val="17"/>
              </w:rPr>
              <w:t>Aprūpes līmenis</w:t>
            </w:r>
          </w:p>
        </w:tc>
        <w:tc>
          <w:tcPr>
            <w:tcW w:w="1701" w:type="dxa"/>
          </w:tcPr>
          <w:p w:rsidR="005718AD" w:rsidRPr="00EA550D" w:rsidRDefault="005718AD" w:rsidP="00385F70">
            <w:pPr>
              <w:jc w:val="center"/>
              <w:rPr>
                <w:rFonts w:ascii="Cambria" w:hAnsi="Cambria"/>
                <w:snapToGrid w:val="0"/>
                <w:sz w:val="17"/>
                <w:szCs w:val="17"/>
              </w:rPr>
            </w:pPr>
            <w:r w:rsidRPr="00EA550D">
              <w:rPr>
                <w:rFonts w:ascii="Cambria" w:hAnsi="Cambria"/>
                <w:snapToGrid w:val="0"/>
                <w:sz w:val="17"/>
                <w:szCs w:val="17"/>
              </w:rPr>
              <w:t>%</w:t>
            </w:r>
          </w:p>
        </w:tc>
        <w:tc>
          <w:tcPr>
            <w:tcW w:w="5528" w:type="dxa"/>
            <w:vMerge w:val="restart"/>
          </w:tcPr>
          <w:p w:rsidR="005718AD" w:rsidRPr="00EA550D" w:rsidRDefault="005718AD" w:rsidP="00385F70">
            <w:pPr>
              <w:rPr>
                <w:rFonts w:ascii="Cambria" w:hAnsi="Cambria"/>
                <w:snapToGrid w:val="0"/>
                <w:sz w:val="17"/>
                <w:szCs w:val="17"/>
              </w:rPr>
            </w:pPr>
            <w:r w:rsidRPr="00EA550D">
              <w:rPr>
                <w:rFonts w:ascii="Cambria" w:hAnsi="Cambria"/>
                <w:snapToGrid w:val="0"/>
                <w:sz w:val="17"/>
                <w:szCs w:val="17"/>
              </w:rPr>
              <w:t>Lai pārrēķinātu iegūto punktu skaitu procentos, tabulā izmantoti šādi sadaļas punktu vērtības koeficienti:</w:t>
            </w:r>
          </w:p>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1. sadaļā – 1,25</w:t>
            </w:r>
          </w:p>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2. sadaļā – 1,25</w:t>
            </w:r>
          </w:p>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3. sadaļā – 0,75</w:t>
            </w:r>
          </w:p>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4. sadaļā – 0,75</w:t>
            </w:r>
          </w:p>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5. sadaļā – 1,25</w:t>
            </w:r>
          </w:p>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6. sadaļā – 0,5</w:t>
            </w:r>
          </w:p>
        </w:tc>
      </w:tr>
      <w:tr w:rsidR="005718AD" w:rsidRPr="00EA550D" w:rsidTr="00385F70">
        <w:tc>
          <w:tcPr>
            <w:tcW w:w="2093"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1. līmenis </w:t>
            </w:r>
          </w:p>
        </w:tc>
        <w:tc>
          <w:tcPr>
            <w:tcW w:w="1701"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99 %–75 % </w:t>
            </w:r>
          </w:p>
        </w:tc>
        <w:tc>
          <w:tcPr>
            <w:tcW w:w="5528" w:type="dxa"/>
            <w:vMerge/>
          </w:tcPr>
          <w:p w:rsidR="005718AD" w:rsidRPr="00EA550D" w:rsidRDefault="005718AD" w:rsidP="00385F70">
            <w:pPr>
              <w:jc w:val="both"/>
              <w:rPr>
                <w:rFonts w:ascii="Cambria" w:hAnsi="Cambria"/>
                <w:snapToGrid w:val="0"/>
                <w:sz w:val="17"/>
                <w:szCs w:val="17"/>
              </w:rPr>
            </w:pPr>
          </w:p>
        </w:tc>
      </w:tr>
      <w:tr w:rsidR="005718AD" w:rsidRPr="00EA550D" w:rsidTr="00385F70">
        <w:tc>
          <w:tcPr>
            <w:tcW w:w="2093"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2. līmenis </w:t>
            </w:r>
          </w:p>
        </w:tc>
        <w:tc>
          <w:tcPr>
            <w:tcW w:w="1701"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74 %–50 % </w:t>
            </w:r>
          </w:p>
        </w:tc>
        <w:tc>
          <w:tcPr>
            <w:tcW w:w="5528" w:type="dxa"/>
            <w:vMerge/>
          </w:tcPr>
          <w:p w:rsidR="005718AD" w:rsidRPr="00EA550D" w:rsidRDefault="005718AD" w:rsidP="00385F70">
            <w:pPr>
              <w:jc w:val="both"/>
              <w:rPr>
                <w:rFonts w:ascii="Cambria" w:hAnsi="Cambria"/>
                <w:snapToGrid w:val="0"/>
                <w:sz w:val="17"/>
                <w:szCs w:val="17"/>
              </w:rPr>
            </w:pPr>
          </w:p>
        </w:tc>
      </w:tr>
      <w:tr w:rsidR="005718AD" w:rsidRPr="00EA550D" w:rsidTr="00385F70">
        <w:tc>
          <w:tcPr>
            <w:tcW w:w="2093"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3. līmenis </w:t>
            </w:r>
          </w:p>
        </w:tc>
        <w:tc>
          <w:tcPr>
            <w:tcW w:w="1701"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49 %–25 % </w:t>
            </w:r>
          </w:p>
        </w:tc>
        <w:tc>
          <w:tcPr>
            <w:tcW w:w="5528" w:type="dxa"/>
            <w:vMerge/>
          </w:tcPr>
          <w:p w:rsidR="005718AD" w:rsidRPr="00EA550D" w:rsidRDefault="005718AD" w:rsidP="00385F70">
            <w:pPr>
              <w:jc w:val="both"/>
              <w:rPr>
                <w:rFonts w:ascii="Cambria" w:hAnsi="Cambria"/>
                <w:snapToGrid w:val="0"/>
                <w:sz w:val="17"/>
                <w:szCs w:val="17"/>
              </w:rPr>
            </w:pPr>
          </w:p>
        </w:tc>
      </w:tr>
      <w:tr w:rsidR="005718AD" w:rsidRPr="00EA550D" w:rsidTr="00385F70">
        <w:tc>
          <w:tcPr>
            <w:tcW w:w="2093"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4. līmenis </w:t>
            </w:r>
          </w:p>
        </w:tc>
        <w:tc>
          <w:tcPr>
            <w:tcW w:w="1701" w:type="dxa"/>
          </w:tcPr>
          <w:p w:rsidR="005718AD" w:rsidRPr="00EA550D" w:rsidRDefault="005718AD" w:rsidP="00385F70">
            <w:pPr>
              <w:jc w:val="both"/>
              <w:rPr>
                <w:rFonts w:ascii="Cambria" w:hAnsi="Cambria"/>
                <w:snapToGrid w:val="0"/>
                <w:sz w:val="17"/>
                <w:szCs w:val="17"/>
              </w:rPr>
            </w:pPr>
            <w:r w:rsidRPr="00EA550D">
              <w:rPr>
                <w:rFonts w:ascii="Cambria" w:hAnsi="Cambria"/>
                <w:snapToGrid w:val="0"/>
                <w:sz w:val="17"/>
                <w:szCs w:val="17"/>
              </w:rPr>
              <w:t xml:space="preserve">24 %–0 % </w:t>
            </w:r>
          </w:p>
        </w:tc>
        <w:tc>
          <w:tcPr>
            <w:tcW w:w="5528" w:type="dxa"/>
            <w:vMerge/>
          </w:tcPr>
          <w:p w:rsidR="005718AD" w:rsidRPr="00EA550D" w:rsidRDefault="005718AD" w:rsidP="00385F70">
            <w:pPr>
              <w:jc w:val="both"/>
              <w:rPr>
                <w:rFonts w:ascii="Cambria" w:hAnsi="Cambria"/>
                <w:snapToGrid w:val="0"/>
                <w:sz w:val="17"/>
                <w:szCs w:val="17"/>
              </w:rPr>
            </w:pPr>
          </w:p>
        </w:tc>
      </w:tr>
    </w:tbl>
    <w:p w:rsidR="005718AD" w:rsidRPr="00EA550D" w:rsidRDefault="005718AD" w:rsidP="005718AD">
      <w:pPr>
        <w:spacing w:before="130" w:line="260" w:lineRule="exact"/>
        <w:ind w:firstLine="539"/>
        <w:jc w:val="both"/>
        <w:rPr>
          <w:rFonts w:ascii="Cambria" w:hAnsi="Cambria"/>
          <w:snapToGrid w:val="0"/>
          <w:sz w:val="17"/>
          <w:szCs w:val="17"/>
        </w:rPr>
      </w:pPr>
    </w:p>
    <w:p w:rsidR="005718AD" w:rsidRPr="00EA550D" w:rsidRDefault="005718AD" w:rsidP="005718AD">
      <w:pPr>
        <w:spacing w:before="130" w:line="260" w:lineRule="exact"/>
        <w:ind w:firstLine="539"/>
        <w:jc w:val="both"/>
        <w:rPr>
          <w:rFonts w:ascii="Cambria" w:hAnsi="Cambria"/>
          <w:sz w:val="17"/>
          <w:szCs w:val="17"/>
        </w:rPr>
      </w:pPr>
      <w:r w:rsidRPr="00EA550D">
        <w:rPr>
          <w:rFonts w:ascii="Cambria" w:hAnsi="Cambria"/>
          <w:sz w:val="17"/>
          <w:szCs w:val="17"/>
        </w:rPr>
        <w:t>2. Pilngadīgas personas pašaprūpes, neatkarības un patstāvīgās dzīves spēju un prasmju izvērtēšanu veic starpprofesionālas komandas speciālisti atbilstoši profesionālajai kompetencei. Š</w:t>
      </w:r>
      <w:r w:rsidRPr="00EA550D">
        <w:rPr>
          <w:rFonts w:ascii="Cambria" w:hAnsi="Cambria"/>
          <w:snapToGrid w:val="0"/>
          <w:sz w:val="17"/>
          <w:szCs w:val="17"/>
        </w:rPr>
        <w:t>ajā pielikumā norādītajā tabulā speciālists var iekļaut k</w:t>
      </w:r>
      <w:r w:rsidRPr="00EA550D">
        <w:rPr>
          <w:rFonts w:ascii="Cambria" w:hAnsi="Cambria"/>
          <w:sz w:val="17"/>
          <w:szCs w:val="17"/>
        </w:rPr>
        <w:t xml:space="preserve">ontroljautājumus, kurus formulē, papildina un precizē atbilstoši klienta spējām uztvert un saprast jautājumus, nemainot kritērijus un to maksimālo procentuālo vērtību attiecīgajās sadaļās. </w:t>
      </w:r>
    </w:p>
    <w:p w:rsidR="005718AD" w:rsidRPr="00EA550D" w:rsidRDefault="005718AD" w:rsidP="005718AD">
      <w:pPr>
        <w:spacing w:before="130" w:line="260" w:lineRule="exact"/>
        <w:ind w:firstLine="539"/>
        <w:jc w:val="both"/>
        <w:rPr>
          <w:rFonts w:ascii="Cambria" w:hAnsi="Cambria"/>
          <w:snapToGrid w:val="0"/>
          <w:sz w:val="17"/>
          <w:szCs w:val="17"/>
        </w:rPr>
      </w:pPr>
      <w:r w:rsidRPr="00EA550D">
        <w:rPr>
          <w:rFonts w:ascii="Cambria" w:hAnsi="Cambria"/>
          <w:snapToGrid w:val="0"/>
          <w:sz w:val="17"/>
          <w:szCs w:val="17"/>
        </w:rPr>
        <w:t>3. Ja nepieciešams, kritērijus var papildināt ar apakškritērijiem, kas pēc satura un būtības ir iederīgi kritērija vērtēšanai. Ja līdz ar to mainās kritērijā iespējamā maksimāli iegūstamā punktu summa, attiecīgās sadaļas punktiem tiek aprēķināts punktu vērtības koeficients, lai punktu procentuālā vērtība atbilstu tabulā norādītajai sadaļas procentuālajai vērtībai.</w:t>
      </w:r>
    </w:p>
    <w:p w:rsidR="005718AD" w:rsidRPr="00EA550D" w:rsidRDefault="005718AD" w:rsidP="005718AD">
      <w:pPr>
        <w:spacing w:before="130" w:line="260" w:lineRule="exact"/>
        <w:ind w:firstLine="539"/>
        <w:jc w:val="both"/>
        <w:rPr>
          <w:rFonts w:ascii="Cambria" w:hAnsi="Cambria"/>
          <w:sz w:val="17"/>
          <w:szCs w:val="17"/>
        </w:rPr>
      </w:pPr>
      <w:r w:rsidRPr="00EA550D">
        <w:rPr>
          <w:rFonts w:ascii="Cambria" w:hAnsi="Cambria"/>
          <w:sz w:val="17"/>
          <w:szCs w:val="17"/>
        </w:rPr>
        <w:t>4. ** Dokumenta rekvizītu "Speciālista paraksts" neaizpilda, ja dokuments ir sagatavots atbilstoši normatīvajiem aktiem par elektronisko dokumentu noformēšanu.</w:t>
      </w:r>
    </w:p>
    <w:p w:rsidR="00141727" w:rsidRDefault="00141727">
      <w:bookmarkStart w:id="0" w:name="_GoBack"/>
      <w:bookmarkEnd w:id="0"/>
    </w:p>
    <w:sectPr w:rsidR="00141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AD"/>
    <w:rsid w:val="00141727"/>
    <w:rsid w:val="0057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A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AD"/>
    <w:pPr>
      <w:spacing w:after="160" w:line="259" w:lineRule="auto"/>
      <w:ind w:left="720"/>
      <w:contextualSpacing/>
    </w:pPr>
    <w:rPr>
      <w:rFonts w:ascii="Calibri" w:eastAsia="Calibri" w:hAnsi="Calibri" w:cs="DokChamp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A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AD"/>
    <w:pPr>
      <w:spacing w:after="160" w:line="259" w:lineRule="auto"/>
      <w:ind w:left="720"/>
      <w:contextualSpacing/>
    </w:pPr>
    <w:rPr>
      <w:rFonts w:ascii="Calibri" w:eastAsia="Calibri" w:hAnsi="Calibri" w:cs="DokChamp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2019-04-04T08:11:00Z</dcterms:created>
  <dcterms:modified xsi:type="dcterms:W3CDTF">2019-04-04T08:11:00Z</dcterms:modified>
</cp:coreProperties>
</file>