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E9" w:rsidRPr="00D4273D" w:rsidRDefault="009E6AE9" w:rsidP="009E6AE9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13.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9E6AE9" w:rsidRPr="00D4273D" w:rsidRDefault="009E6AE9" w:rsidP="009E6AE9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szCs w:val="28"/>
        </w:rPr>
        <w:br/>
        <w:t>ČERNOBIĻAS ATOMELEKTROSTACIJAS AVĀRIJĀ CIETUŠO MEDICĪNISKO APRŪPI</w:t>
      </w:r>
    </w:p>
    <w:p w:rsidR="009E6AE9" w:rsidRPr="00D4273D" w:rsidRDefault="009E6AE9" w:rsidP="009E6AE9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9E6AE9" w:rsidRPr="00D4273D" w:rsidRDefault="009E6AE9" w:rsidP="009E6AE9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0"/>
        <w:gridCol w:w="3966"/>
      </w:tblGrid>
      <w:tr w:rsidR="009E6AE9" w:rsidRPr="00D4273D" w:rsidTr="00526CB9">
        <w:trPr>
          <w:jc w:val="center"/>
        </w:trPr>
        <w:tc>
          <w:tcPr>
            <w:tcW w:w="5212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valsts sabiedrība ar ierobežotu atbildību</w:t>
            </w: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"Paula </w:t>
            </w:r>
            <w:proofErr w:type="gramStart"/>
            <w:r w:rsidRPr="00D4273D">
              <w:rPr>
                <w:rFonts w:ascii="Cambria" w:hAnsi="Cambria"/>
                <w:sz w:val="19"/>
              </w:rPr>
              <w:t>Stradiņa klīniskā universitātes slimnīca</w:t>
            </w:r>
            <w:proofErr w:type="gramEnd"/>
            <w:r w:rsidRPr="00D4273D">
              <w:rPr>
                <w:rFonts w:ascii="Cambria" w:hAnsi="Cambria"/>
                <w:sz w:val="19"/>
              </w:rPr>
              <w:t>"</w:t>
            </w:r>
          </w:p>
        </w:tc>
        <w:tc>
          <w:tcPr>
            <w:tcW w:w="4369" w:type="dxa"/>
            <w:vMerge w:val="restart"/>
          </w:tcPr>
          <w:p w:rsidR="009E6AE9" w:rsidRPr="00D4273D" w:rsidRDefault="009E6AE9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9E6AE9" w:rsidRPr="00D4273D" w:rsidTr="00526CB9">
        <w:trPr>
          <w:jc w:val="center"/>
        </w:trPr>
        <w:tc>
          <w:tcPr>
            <w:tcW w:w="5212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1. martam</w:t>
            </w:r>
          </w:p>
        </w:tc>
        <w:tc>
          <w:tcPr>
            <w:tcW w:w="4369" w:type="dxa"/>
            <w:vMerge/>
          </w:tcPr>
          <w:p w:rsidR="009E6AE9" w:rsidRPr="00D4273D" w:rsidRDefault="009E6AE9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9E6AE9" w:rsidRPr="00D4273D" w:rsidTr="00526CB9">
        <w:trPr>
          <w:jc w:val="center"/>
        </w:trPr>
        <w:tc>
          <w:tcPr>
            <w:tcW w:w="3289" w:type="dxa"/>
            <w:vAlign w:val="center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2"/>
        <w:gridCol w:w="1624"/>
      </w:tblGrid>
      <w:tr w:rsidR="009E6AE9" w:rsidRPr="00D4273D" w:rsidTr="00526CB9">
        <w:trPr>
          <w:jc w:val="center"/>
        </w:trPr>
        <w:tc>
          <w:tcPr>
            <w:tcW w:w="9581" w:type="dxa"/>
            <w:gridSpan w:val="2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9E6AE9" w:rsidRPr="00D4273D" w:rsidTr="00526CB9">
        <w:trPr>
          <w:jc w:val="center"/>
        </w:trPr>
        <w:tc>
          <w:tcPr>
            <w:tcW w:w="7825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56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0"/>
      </w:tblGrid>
      <w:tr w:rsidR="009E6AE9" w:rsidRPr="00D4273D" w:rsidTr="00526CB9">
        <w:trPr>
          <w:trHeight w:val="227"/>
          <w:jc w:val="center"/>
        </w:trPr>
        <w:tc>
          <w:tcPr>
            <w:tcW w:w="737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E6AE9" w:rsidRPr="00D4273D" w:rsidTr="00526CB9">
        <w:trPr>
          <w:trHeight w:val="227"/>
          <w:jc w:val="center"/>
        </w:trPr>
        <w:tc>
          <w:tcPr>
            <w:tcW w:w="737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3043"/>
        <w:gridCol w:w="1570"/>
        <w:gridCol w:w="3219"/>
      </w:tblGrid>
      <w:tr w:rsidR="009E6AE9" w:rsidRPr="00D4273D" w:rsidTr="00526CB9">
        <w:trPr>
          <w:jc w:val="center"/>
        </w:trPr>
        <w:tc>
          <w:tcPr>
            <w:tcW w:w="879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7201"/>
      </w:tblGrid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9E6AE9" w:rsidRPr="00D4273D" w:rsidRDefault="009E6AE9" w:rsidP="009E6AE9"/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1. Černobiļas atomelektrostacijas avārijas seku likvidēšanas dalībnieku un Černobiļas atomelektrostacijas avārijas rezultātā cietušo personu medicīniskā aprūpe</w:t>
      </w:r>
    </w:p>
    <w:p w:rsidR="009E6AE9" w:rsidRPr="00D4273D" w:rsidRDefault="009E6AE9" w:rsidP="009E6AE9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b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8"/>
        <w:gridCol w:w="1183"/>
        <w:gridCol w:w="815"/>
        <w:gridCol w:w="909"/>
        <w:gridCol w:w="1212"/>
        <w:gridCol w:w="809"/>
      </w:tblGrid>
      <w:tr w:rsidR="009E6AE9" w:rsidRPr="00D4273D" w:rsidTr="00526CB9">
        <w:tc>
          <w:tcPr>
            <w:tcW w:w="4073" w:type="dxa"/>
            <w:vMerge w:val="restart"/>
            <w:vAlign w:val="center"/>
          </w:tcPr>
          <w:p w:rsidR="009E6AE9" w:rsidRPr="00D4273D" w:rsidRDefault="009E6AE9" w:rsidP="00526CB9">
            <w:pPr>
              <w:pStyle w:val="Heading1"/>
              <w:snapToGrid w:val="0"/>
              <w:spacing w:before="0" w:after="0" w:line="240" w:lineRule="auto"/>
              <w:jc w:val="center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Slimību klases un atsevišķas slimības</w:t>
            </w:r>
          </w:p>
        </w:tc>
        <w:tc>
          <w:tcPr>
            <w:tcW w:w="1283" w:type="dxa"/>
            <w:vMerge w:val="restart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vertAlign w:val="superscript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SSK-10 kods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3115" w:type="dxa"/>
            <w:gridSpan w:val="3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Pieaugušie (18 gadi un vecāki)</w:t>
            </w:r>
          </w:p>
        </w:tc>
      </w:tr>
      <w:tr w:rsidR="009E6AE9" w:rsidRPr="00D4273D" w:rsidTr="00526CB9">
        <w:tc>
          <w:tcPr>
            <w:tcW w:w="407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pacientu skaits</w:t>
            </w:r>
          </w:p>
        </w:tc>
        <w:tc>
          <w:tcPr>
            <w:tcW w:w="849" w:type="dxa"/>
            <w:vMerge w:val="restart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miruši</w:t>
            </w:r>
          </w:p>
        </w:tc>
      </w:tr>
      <w:tr w:rsidR="009E6AE9" w:rsidRPr="00D4273D" w:rsidTr="00526CB9">
        <w:tc>
          <w:tcPr>
            <w:tcW w:w="407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ar pirmoreiz noteiktu diagnozi</w:t>
            </w:r>
          </w:p>
        </w:tc>
        <w:tc>
          <w:tcPr>
            <w:tcW w:w="849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9E6AE9" w:rsidRPr="00D4273D" w:rsidTr="00526CB9">
        <w:tc>
          <w:tcPr>
            <w:tcW w:w="407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Kopā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skaitā:</w:t>
            </w:r>
          </w:p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Infekcijas un parazitāras slimības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pStyle w:val="Heading1"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A00–B99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2.0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tuberkuloze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A15–A19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bruceloze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A23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ērču encefalīts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A84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lastRenderedPageBreak/>
              <w:t>vīrushepatīts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B15–B19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Audzēji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C00–D48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3.0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ļaundabīgi audzēji 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C00–C97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to skaitā:</w:t>
            </w: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barības vada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C15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kuņģa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tievās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resnās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sigmveida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taisnās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tūpļa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aknu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žultspūšļa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C23–24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aizkuņģa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elpošanas orgānu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C30–39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 xml:space="preserve">kaulu 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C40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ādas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C43–44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prostatas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nieres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C64–65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urīnpūšļa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C67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smadzeņu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C71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vairogdziedzera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C74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virsnieru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C75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leikoze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C95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3.1.20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labdabīgi audzēji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D10–D36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i/>
                <w:sz w:val="19"/>
                <w:szCs w:val="20"/>
              </w:rPr>
              <w:tab/>
            </w: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gremošanas sistēmas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D10–13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lipoma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hemangioma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ādas audzēji (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hiperkeratozes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,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leikokeratozes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D22, D23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Endokrīnās, uztura un vielmaiņas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snapToGrid w:val="0"/>
              <w:spacing w:before="0" w:after="0" w:line="240" w:lineRule="auto"/>
              <w:rPr>
                <w:sz w:val="19"/>
              </w:rPr>
            </w:pPr>
            <w:r w:rsidRPr="00D4273D">
              <w:rPr>
                <w:sz w:val="19"/>
              </w:rPr>
              <w:t>E00–E90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4.0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difūza netoksiska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struma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E04.0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vairogdziedzera solidārs mezgls/cista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E04.1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nodoza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netoksiska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struma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E04.2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tireotoksikoze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tireoidīti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cukura diabēts, I tips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E10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cukura diabēts, II tips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E11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 xml:space="preserve">Asins un </w:t>
            </w:r>
            <w:proofErr w:type="spellStart"/>
            <w:r w:rsidRPr="00D4273D">
              <w:rPr>
                <w:rFonts w:ascii="Cambria" w:hAnsi="Cambria"/>
                <w:b/>
                <w:sz w:val="19"/>
                <w:szCs w:val="20"/>
              </w:rPr>
              <w:t>asinrades</w:t>
            </w:r>
            <w:proofErr w:type="spellEnd"/>
            <w:r w:rsidRPr="00D4273D">
              <w:rPr>
                <w:rFonts w:ascii="Cambria" w:hAnsi="Cambria"/>
                <w:b/>
                <w:sz w:val="19"/>
                <w:szCs w:val="20"/>
              </w:rPr>
              <w:t xml:space="preserve"> orgānu slimības un noteikti imūnsistēmas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D50–D89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dzelzs deficīta anēmija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D50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lastRenderedPageBreak/>
              <w:t>hemolītiska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anēmija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D59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aplastiska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anēmija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D60–D61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sideroblastiska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anēmija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D64,0–3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alerģisks vaskulīts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D69.0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leikocitāras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D70–D72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sekundārs imūndeficīts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D84.9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Psihiski un uzvedības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F00–F99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6.0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demence</w:t>
            </w:r>
            <w:proofErr w:type="spellEnd"/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F02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organiski afektīvi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F06.3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organiska emocionāla labilitāte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F06.6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organiski kognitīvi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F06.7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organisks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psihosindroms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F07.0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šizofrēnija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reakcija uz smagu stresu un adaptācijas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F43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neirocirkulatoriska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astēnija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F45.3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Nervu sistēmas un maņu orgānu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G00–G99, H00–H59, H60–H95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7.0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epilepsija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G40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karpālā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kanāla sindroms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G56.0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toksiska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polineiropātija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G62.2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autonomās (veģetatīvās) nervu sistēmas patoloģija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G90.9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encefalopātija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G93.4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konjunktivīts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H10.4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hronisks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keratokonjunktivīts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H16.2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katarakta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H25–H26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tīklenes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angiopātija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,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angioskleroze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H35.0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tīklenes perifērā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distrofija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H35.4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glaukoma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H40–H42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progresējoša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miopija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H52.1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kohleārs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neirīts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H93.3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Asinsrites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I00–I99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8.0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primārā arteriālā hipertensija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I10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stenokardija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akūts infarkts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I21–23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hroniska sirds išēmiskā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aritmijas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I46–49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sirds mazspēja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I50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cerebrovaskulāras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I60–69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ekstremitāšu artēriju ateroskleroze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I70.2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apakšējo ekstremitāšu varikozas vēnas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I83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lastRenderedPageBreak/>
              <w:t>Elpošanas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J00–J99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9.0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hronisks rinīts, faringīts,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nazofaringīts</w:t>
            </w:r>
            <w:proofErr w:type="spellEnd"/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J31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hronisks laringīts un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laringotraheīts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J37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hronisks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traheobronhīts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emfizēma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citas hroniskas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obstruktīvas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plaušu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J44.8, J44.9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astma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J45–J46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pneimokonioze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J60–J62.0, J63–J65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tajā skaitā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azbestoze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9.7.1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Gremošanas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K00–K93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10.0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refluksa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ezofagīts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kuņģa čūlas toksisks hepatīts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hroniska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duodēna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čūla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hronisks gastrīts,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duodenīts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toksisks hepatīts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K71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taukainā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hepatoze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K76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žultsakmeņu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K81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Ādas un zemādas audu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L00–L99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11.0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hroniska ekzēma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L20.8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kontaktdermatīts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L24–L25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nātrene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L50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toksiskā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melanodermija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L81.4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Skeleta, muskuļu un saistaudu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M00–M90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12.0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artrozes</w:t>
            </w:r>
            <w:proofErr w:type="spellEnd"/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M15–M19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spondiloze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M47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lumbosakrāls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radikulīts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M54.1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hroniskas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miofibrozes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M60–M61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palmāra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fasciāla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fibromatoze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(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Dipitrēna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M72.0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pleca-lāpstiņu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periartroze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M75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epikondilīti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M77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osteoporoze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M80–81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pageBreakBefore/>
              <w:snapToGri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bCs/>
                <w:sz w:val="19"/>
                <w:szCs w:val="20"/>
              </w:rPr>
              <w:lastRenderedPageBreak/>
              <w:t>Uroģenitālās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N00–N99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13.0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toksiska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nefropātija</w:t>
            </w:r>
            <w:proofErr w:type="spellEnd"/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N14.4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hronisks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pielonefrīts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N11.9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nierakmeņu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nieru cista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N28.1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prostatas adenoma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N40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prostatīts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N41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Ievainojumi un citas ārējas iedarbes sekas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S00–T98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14.0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nemedicīniskas cilmes vielu toksiska ietekme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</w:p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T51–T55, T56.2–8, T57–T65.8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saindēšanās ar svinu un dzīvsudrabu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T56.0, 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staru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T66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vibrācijas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T75.2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alergoze</w:t>
            </w:r>
            <w:proofErr w:type="spellEnd"/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T78.4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9"/>
        </w:rPr>
      </w:pP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 Černobiļas atomelektrostacijas avārijas seku likvidēšanas dalībnieki un Černobiļas atomelektrostacijas avārijas rezultātā cietušās personas</w:t>
      </w: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7"/>
        <w:gridCol w:w="753"/>
        <w:gridCol w:w="1615"/>
        <w:gridCol w:w="1681"/>
        <w:gridCol w:w="2440"/>
      </w:tblGrid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Černobiļas atomelektrostacijas avārijas seku likvidēšanas dalībnieki</w:t>
            </w: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Černobiļas atomelektrostacijas avārijas rezultātā cietušās personas</w:t>
            </w: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Černobiļas atomelektrostacijas avārijas seku likvidēšanas dalībniekiem un avārijas rezultātā cietušām personām dzimušie bērni (neatkarīgi no vecāku dzīvesvietas)</w:t>
            </w: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19"/>
              </w:rPr>
              <w:t>Ir uzskaitē pārskata perioda beigās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19"/>
              </w:rPr>
              <w:t>tajā skaitā pārbaudīti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19"/>
              </w:rPr>
              <w:t>Atveseļoti: stacionārā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p w:rsidR="009E6AE9" w:rsidRPr="00D4273D" w:rsidRDefault="009E6AE9" w:rsidP="009E6AE9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Piezīme.</w:t>
      </w: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Diagnozes kods atbilstoši Starptautiskās statistiskās slimību un veselības problēmu klasifikācijas 10. redakcijas aktuālajai versijai (SSK-10).</w:t>
      </w:r>
    </w:p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9E6AE9" w:rsidRPr="00D4273D" w:rsidTr="00526CB9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9E6AE9" w:rsidRPr="00D4273D" w:rsidRDefault="009E6AE9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:rsidR="009E6AE9" w:rsidRPr="00D4273D" w:rsidRDefault="009E6AE9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D4273D">
              <w:rPr>
                <w:rFonts w:ascii="Cambria" w:hAnsi="Cambria"/>
                <w:sz w:val="19"/>
              </w:rPr>
              <w:t>dd.mm.gggg</w:t>
            </w:r>
            <w:proofErr w:type="spellEnd"/>
            <w:r w:rsidRPr="00D4273D">
              <w:rPr>
                <w:rFonts w:ascii="Cambria" w:hAnsi="Cambria"/>
                <w:sz w:val="19"/>
              </w:rPr>
              <w:t>.)</w:t>
            </w:r>
            <w:proofErr w:type="gramStart"/>
            <w:r w:rsidRPr="00D4273D">
              <w:rPr>
                <w:rFonts w:ascii="Cambria" w:hAnsi="Cambria"/>
                <w:sz w:val="19"/>
              </w:rPr>
              <w:t xml:space="preserve">      </w:t>
            </w:r>
            <w:proofErr w:type="gramEnd"/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9E6AE9" w:rsidRPr="00D4273D" w:rsidRDefault="009E6AE9" w:rsidP="009E6AE9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7202"/>
      </w:tblGrid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9E6AE9" w:rsidRPr="00D4273D" w:rsidRDefault="009E6AE9" w:rsidP="009E6AE9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6"/>
        <w:gridCol w:w="3688"/>
        <w:gridCol w:w="1333"/>
        <w:gridCol w:w="1919"/>
      </w:tblGrid>
      <w:tr w:rsidR="009E6AE9" w:rsidRPr="00D4273D" w:rsidTr="00526CB9">
        <w:trPr>
          <w:jc w:val="center"/>
        </w:trPr>
        <w:tc>
          <w:tcPr>
            <w:tcW w:w="1871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9E6AE9" w:rsidRPr="00D4273D" w:rsidTr="00526CB9">
        <w:trPr>
          <w:jc w:val="center"/>
        </w:trPr>
        <w:tc>
          <w:tcPr>
            <w:tcW w:w="1871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E6AE9" w:rsidRPr="00D4273D" w:rsidRDefault="009E6AE9" w:rsidP="009E6AE9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bookmarkStart w:id="0" w:name="_GoBack"/>
      <w:bookmarkEnd w:id="0"/>
      <w:r w:rsidRPr="00D4273D">
        <w:rPr>
          <w:rFonts w:ascii="Cambria" w:hAnsi="Cambria"/>
          <w:sz w:val="17"/>
          <w:szCs w:val="17"/>
        </w:rPr>
        <w:br w:type="page"/>
      </w:r>
      <w:r w:rsidRPr="00D4273D">
        <w:rPr>
          <w:rFonts w:ascii="Cambria" w:hAnsi="Cambria"/>
          <w:sz w:val="17"/>
          <w:szCs w:val="17"/>
        </w:rPr>
        <w:lastRenderedPageBreak/>
        <w:t xml:space="preserve">Piezīme. </w:t>
      </w: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E9"/>
    <w:rsid w:val="009E6AE9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E9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9E6A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AE9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E9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qFormat/>
    <w:rsid w:val="009E6AE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6A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6AE9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E9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9E6A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AE9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E9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qFormat/>
    <w:rsid w:val="009E6AE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6A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6AE9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2018-12-07T09:17:00Z</dcterms:created>
  <dcterms:modified xsi:type="dcterms:W3CDTF">2018-12-07T09:18:00Z</dcterms:modified>
</cp:coreProperties>
</file>