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BB" w:rsidRPr="00C07A3A" w:rsidRDefault="00E873BB" w:rsidP="00E873BB">
      <w:pPr>
        <w:spacing w:before="130" w:line="260" w:lineRule="exact"/>
        <w:ind w:firstLine="539"/>
        <w:jc w:val="right"/>
        <w:rPr>
          <w:rFonts w:ascii="Cambria" w:hAnsi="Cambria"/>
          <w:bCs/>
          <w:sz w:val="19"/>
          <w:szCs w:val="19"/>
        </w:rPr>
      </w:pPr>
      <w:r w:rsidRPr="00C07A3A">
        <w:rPr>
          <w:rFonts w:ascii="Cambria" w:hAnsi="Cambria"/>
          <w:bCs/>
          <w:sz w:val="19"/>
          <w:szCs w:val="19"/>
        </w:rPr>
        <w:t>3.pielikums</w:t>
      </w:r>
      <w:r w:rsidRPr="00C07A3A">
        <w:rPr>
          <w:rFonts w:ascii="Cambria" w:hAnsi="Cambria"/>
          <w:bCs/>
          <w:sz w:val="19"/>
          <w:szCs w:val="19"/>
        </w:rPr>
        <w:br/>
        <w:t>Jūrmalas pilsētas domes</w:t>
      </w:r>
      <w:r w:rsidRPr="00C07A3A">
        <w:rPr>
          <w:rFonts w:ascii="Cambria" w:hAnsi="Cambria"/>
          <w:bCs/>
          <w:sz w:val="19"/>
          <w:szCs w:val="19"/>
        </w:rPr>
        <w:br/>
        <w:t>2017.gada 18.janvāra saistošajiem noteikumiem Nr.2</w:t>
      </w:r>
      <w:r w:rsidRPr="00C07A3A">
        <w:rPr>
          <w:rFonts w:ascii="Cambria" w:hAnsi="Cambria"/>
          <w:bCs/>
          <w:sz w:val="19"/>
          <w:szCs w:val="19"/>
        </w:rPr>
        <w:br/>
        <w:t>(prot. Nr.1, 48.p.)</w:t>
      </w:r>
    </w:p>
    <w:p w:rsidR="00E873BB" w:rsidRPr="00C07A3A" w:rsidRDefault="00E873BB" w:rsidP="00E873BB">
      <w:pPr>
        <w:spacing w:before="360"/>
        <w:ind w:left="567" w:right="567"/>
        <w:jc w:val="center"/>
        <w:rPr>
          <w:rFonts w:ascii="Cambria" w:hAnsi="Cambria"/>
          <w:b/>
          <w:bCs/>
          <w:sz w:val="22"/>
          <w:szCs w:val="19"/>
        </w:rPr>
      </w:pPr>
      <w:bookmarkStart w:id="0" w:name="n-623694"/>
      <w:bookmarkStart w:id="1" w:name="623694"/>
      <w:bookmarkEnd w:id="0"/>
      <w:bookmarkEnd w:id="1"/>
      <w:r w:rsidRPr="00C07A3A">
        <w:rPr>
          <w:rFonts w:ascii="Cambria" w:hAnsi="Cambria"/>
          <w:b/>
          <w:bCs/>
          <w:sz w:val="22"/>
          <w:szCs w:val="19"/>
        </w:rPr>
        <w:t>PAKALPOJUMA LĪGUMA PARAUGS</w:t>
      </w:r>
    </w:p>
    <w:p w:rsidR="00E873BB" w:rsidRPr="00C07A3A" w:rsidRDefault="00E873BB" w:rsidP="00E873BB">
      <w:pPr>
        <w:spacing w:before="130"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86"/>
        <w:gridCol w:w="4380"/>
      </w:tblGrid>
      <w:tr w:rsidR="00E873BB" w:rsidRPr="00C07A3A" w:rsidTr="0009160F">
        <w:trPr>
          <w:cantSplit/>
        </w:trPr>
        <w:tc>
          <w:tcPr>
            <w:tcW w:w="2382" w:type="pct"/>
            <w:vAlign w:val="center"/>
            <w:hideMark/>
          </w:tcPr>
          <w:p w:rsidR="00E873BB" w:rsidRPr="00C07A3A" w:rsidRDefault="00E873BB" w:rsidP="0009160F">
            <w:pPr>
              <w:jc w:val="center"/>
              <w:rPr>
                <w:rFonts w:ascii="Cambria" w:hAnsi="Cambria"/>
                <w:b/>
                <w:bCs/>
                <w:sz w:val="19"/>
                <w:szCs w:val="19"/>
              </w:rPr>
            </w:pPr>
            <w:r w:rsidRPr="00C07A3A">
              <w:rPr>
                <w:rFonts w:ascii="Cambria" w:hAnsi="Cambria"/>
                <w:b/>
                <w:bCs/>
                <w:sz w:val="19"/>
                <w:szCs w:val="19"/>
              </w:rPr>
              <w:t>Pakalpojumu sniedzējs</w:t>
            </w:r>
          </w:p>
        </w:tc>
        <w:tc>
          <w:tcPr>
            <w:tcW w:w="2618" w:type="pct"/>
            <w:vAlign w:val="center"/>
            <w:hideMark/>
          </w:tcPr>
          <w:p w:rsidR="00E873BB" w:rsidRPr="00C07A3A" w:rsidRDefault="00E873BB" w:rsidP="0009160F">
            <w:pPr>
              <w:jc w:val="center"/>
              <w:rPr>
                <w:rFonts w:ascii="Cambria" w:hAnsi="Cambria"/>
                <w:b/>
                <w:bCs/>
                <w:sz w:val="19"/>
                <w:szCs w:val="19"/>
              </w:rPr>
            </w:pPr>
            <w:r w:rsidRPr="00C07A3A">
              <w:rPr>
                <w:rFonts w:ascii="Cambria" w:hAnsi="Cambria"/>
                <w:b/>
                <w:bCs/>
                <w:sz w:val="19"/>
                <w:szCs w:val="19"/>
              </w:rPr>
              <w:t>Pakalpojumu lietotājs/Pilnvarotā persona/Pārvaldnieks</w:t>
            </w:r>
            <w:r w:rsidRPr="00C07A3A">
              <w:rPr>
                <w:rFonts w:ascii="Cambria" w:hAnsi="Cambria"/>
                <w:b/>
                <w:bCs/>
                <w:sz w:val="19"/>
                <w:szCs w:val="19"/>
              </w:rPr>
              <w:br/>
            </w:r>
            <w:r w:rsidRPr="004D5B9B">
              <w:rPr>
                <w:rFonts w:ascii="Cambria" w:hAnsi="Cambria"/>
                <w:bCs/>
                <w:sz w:val="19"/>
                <w:szCs w:val="19"/>
              </w:rPr>
              <w:t>[izvēlas attiecīgo līguma slēdzēja pusi]</w:t>
            </w:r>
          </w:p>
        </w:tc>
      </w:tr>
      <w:tr w:rsidR="00E873BB" w:rsidRPr="00C07A3A" w:rsidTr="0009160F">
        <w:trPr>
          <w:cantSplit/>
        </w:trPr>
        <w:tc>
          <w:tcPr>
            <w:tcW w:w="2382" w:type="pct"/>
            <w:vAlign w:val="center"/>
            <w:hideMark/>
          </w:tcPr>
          <w:p w:rsidR="00E873BB" w:rsidRPr="00C07A3A" w:rsidRDefault="00E873BB" w:rsidP="0009160F">
            <w:pPr>
              <w:jc w:val="center"/>
              <w:rPr>
                <w:rFonts w:ascii="Cambria" w:hAnsi="Cambria"/>
                <w:bCs/>
                <w:sz w:val="19"/>
                <w:szCs w:val="19"/>
              </w:rPr>
            </w:pPr>
          </w:p>
        </w:tc>
        <w:tc>
          <w:tcPr>
            <w:tcW w:w="2618" w:type="pct"/>
            <w:vAlign w:val="center"/>
            <w:hideMark/>
          </w:tcPr>
          <w:p w:rsidR="00E873BB" w:rsidRPr="00C07A3A" w:rsidRDefault="00E873BB" w:rsidP="0009160F">
            <w:pPr>
              <w:jc w:val="center"/>
              <w:rPr>
                <w:rFonts w:ascii="Cambria" w:hAnsi="Cambria"/>
                <w:bCs/>
                <w:sz w:val="19"/>
                <w:szCs w:val="19"/>
              </w:rPr>
            </w:pPr>
          </w:p>
        </w:tc>
      </w:tr>
      <w:tr w:rsidR="00E873BB" w:rsidRPr="00C07A3A" w:rsidTr="0009160F">
        <w:trPr>
          <w:cantSplit/>
        </w:trPr>
        <w:tc>
          <w:tcPr>
            <w:tcW w:w="2382"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Kontaktinformācija, adrese</w:t>
            </w:r>
          </w:p>
        </w:tc>
        <w:tc>
          <w:tcPr>
            <w:tcW w:w="2618"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Reģistrācijas Nr. / personas kods</w:t>
            </w:r>
          </w:p>
        </w:tc>
      </w:tr>
      <w:tr w:rsidR="00E873BB" w:rsidRPr="00C07A3A" w:rsidTr="0009160F">
        <w:trPr>
          <w:cantSplit/>
        </w:trPr>
        <w:tc>
          <w:tcPr>
            <w:tcW w:w="2382"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Tālrunis / Fakss</w:t>
            </w:r>
          </w:p>
        </w:tc>
        <w:tc>
          <w:tcPr>
            <w:tcW w:w="2618"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Tālrunis / Fakss</w:t>
            </w:r>
          </w:p>
        </w:tc>
      </w:tr>
      <w:tr w:rsidR="00E873BB" w:rsidRPr="00C07A3A" w:rsidTr="0009160F">
        <w:trPr>
          <w:cantSplit/>
        </w:trPr>
        <w:tc>
          <w:tcPr>
            <w:tcW w:w="2382"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e-pasts</w:t>
            </w:r>
          </w:p>
        </w:tc>
        <w:tc>
          <w:tcPr>
            <w:tcW w:w="2618"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e-pasts</w:t>
            </w:r>
          </w:p>
        </w:tc>
      </w:tr>
      <w:tr w:rsidR="00E873BB" w:rsidRPr="00C07A3A" w:rsidTr="0009160F">
        <w:trPr>
          <w:cantSplit/>
        </w:trPr>
        <w:tc>
          <w:tcPr>
            <w:tcW w:w="2382"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Konti</w:t>
            </w:r>
          </w:p>
        </w:tc>
        <w:tc>
          <w:tcPr>
            <w:tcW w:w="2618" w:type="pct"/>
            <w:vAlign w:val="center"/>
            <w:hideMark/>
          </w:tcPr>
          <w:p w:rsidR="00E873BB" w:rsidRPr="00C07A3A" w:rsidRDefault="00E873BB" w:rsidP="0009160F">
            <w:pPr>
              <w:jc w:val="center"/>
              <w:rPr>
                <w:rFonts w:ascii="Cambria" w:hAnsi="Cambria"/>
                <w:bCs/>
                <w:sz w:val="19"/>
                <w:szCs w:val="19"/>
              </w:rPr>
            </w:pPr>
          </w:p>
        </w:tc>
      </w:tr>
    </w:tbl>
    <w:p w:rsidR="00E873BB" w:rsidRPr="00C07A3A" w:rsidRDefault="00E873BB" w:rsidP="00E873BB">
      <w:pPr>
        <w:spacing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08"/>
        <w:gridCol w:w="1658"/>
      </w:tblGrid>
      <w:tr w:rsidR="00E873BB" w:rsidRPr="00C07A3A" w:rsidTr="0009160F">
        <w:trPr>
          <w:cantSplit/>
        </w:trPr>
        <w:tc>
          <w:tcPr>
            <w:tcW w:w="4009" w:type="pct"/>
            <w:vAlign w:val="center"/>
            <w:hideMark/>
          </w:tcPr>
          <w:p w:rsidR="00E873BB" w:rsidRPr="00C07A3A" w:rsidRDefault="00E873BB" w:rsidP="0009160F">
            <w:pPr>
              <w:jc w:val="center"/>
              <w:rPr>
                <w:rFonts w:ascii="Cambria" w:hAnsi="Cambria"/>
                <w:b/>
                <w:bCs/>
                <w:sz w:val="19"/>
                <w:szCs w:val="19"/>
              </w:rPr>
            </w:pPr>
            <w:r w:rsidRPr="00C07A3A">
              <w:rPr>
                <w:rFonts w:ascii="Cambria" w:hAnsi="Cambria"/>
                <w:b/>
                <w:bCs/>
                <w:sz w:val="19"/>
                <w:szCs w:val="19"/>
              </w:rPr>
              <w:t>Līgums par ūdenssaimniecības pakalpojumiem (turpmāk – Līgums)</w:t>
            </w:r>
          </w:p>
        </w:tc>
        <w:tc>
          <w:tcPr>
            <w:tcW w:w="991" w:type="pct"/>
            <w:vAlign w:val="center"/>
            <w:hideMark/>
          </w:tcPr>
          <w:p w:rsidR="00E873BB" w:rsidRPr="00C07A3A" w:rsidRDefault="00E873BB" w:rsidP="0009160F">
            <w:pPr>
              <w:jc w:val="center"/>
              <w:rPr>
                <w:rFonts w:ascii="Cambria" w:hAnsi="Cambria"/>
                <w:bCs/>
                <w:sz w:val="19"/>
                <w:szCs w:val="19"/>
              </w:rPr>
            </w:pPr>
            <w:r w:rsidRPr="00C07A3A">
              <w:rPr>
                <w:rFonts w:ascii="Cambria" w:hAnsi="Cambria"/>
                <w:bCs/>
                <w:sz w:val="19"/>
                <w:szCs w:val="19"/>
              </w:rPr>
              <w:t>Nr._________</w:t>
            </w:r>
          </w:p>
        </w:tc>
      </w:tr>
    </w:tbl>
    <w:p w:rsidR="00E873BB" w:rsidRPr="00C07A3A" w:rsidRDefault="00E873BB" w:rsidP="00E873BB">
      <w:pPr>
        <w:spacing w:before="100" w:line="260" w:lineRule="exact"/>
        <w:ind w:firstLine="539"/>
        <w:jc w:val="both"/>
        <w:rPr>
          <w:rFonts w:ascii="Cambria" w:hAnsi="Cambria"/>
          <w:sz w:val="19"/>
          <w:szCs w:val="19"/>
          <w:lang w:eastAsia="en-US"/>
        </w:rPr>
      </w:pPr>
    </w:p>
    <w:p w:rsidR="00E873BB" w:rsidRPr="00C07A3A" w:rsidRDefault="00E873BB" w:rsidP="00E873BB">
      <w:pPr>
        <w:spacing w:before="100" w:line="260" w:lineRule="exact"/>
        <w:jc w:val="center"/>
        <w:rPr>
          <w:rFonts w:ascii="Cambria" w:hAnsi="Cambria"/>
          <w:b/>
          <w:bCs/>
          <w:sz w:val="19"/>
          <w:szCs w:val="19"/>
        </w:rPr>
      </w:pPr>
      <w:r w:rsidRPr="00C07A3A">
        <w:rPr>
          <w:rFonts w:ascii="Cambria" w:hAnsi="Cambria"/>
          <w:b/>
          <w:bCs/>
          <w:sz w:val="19"/>
          <w:szCs w:val="19"/>
        </w:rPr>
        <w:t>LĪGUMA SPECIĀLIE NOTEIKUMI</w:t>
      </w:r>
    </w:p>
    <w:p w:rsidR="00E873BB" w:rsidRPr="00C07A3A" w:rsidRDefault="00E873BB" w:rsidP="00E873BB">
      <w:pPr>
        <w:spacing w:before="100"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10"/>
        <w:gridCol w:w="5856"/>
      </w:tblGrid>
      <w:tr w:rsidR="00E873BB" w:rsidRPr="00C07A3A" w:rsidTr="0009160F">
        <w:trPr>
          <w:cantSplit/>
        </w:trPr>
        <w:tc>
          <w:tcPr>
            <w:tcW w:w="1500"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Adrese</w:t>
            </w:r>
          </w:p>
        </w:tc>
        <w:tc>
          <w:tcPr>
            <w:tcW w:w="3500" w:type="pct"/>
            <w:vAlign w:val="center"/>
            <w:hideMark/>
          </w:tcPr>
          <w:p w:rsidR="00E873BB" w:rsidRPr="00C07A3A" w:rsidRDefault="00E873BB" w:rsidP="0009160F">
            <w:pPr>
              <w:jc w:val="center"/>
              <w:rPr>
                <w:rFonts w:ascii="Cambria" w:hAnsi="Cambria"/>
                <w:bCs/>
                <w:i/>
                <w:sz w:val="19"/>
                <w:szCs w:val="19"/>
              </w:rPr>
            </w:pPr>
            <w:r w:rsidRPr="00C07A3A">
              <w:rPr>
                <w:rFonts w:ascii="Cambria" w:hAnsi="Cambria"/>
                <w:bCs/>
                <w:i/>
                <w:sz w:val="19"/>
                <w:szCs w:val="19"/>
              </w:rPr>
              <w:t>papildina ar nepieciešamo informāciju</w:t>
            </w:r>
          </w:p>
        </w:tc>
      </w:tr>
      <w:tr w:rsidR="00E873BB" w:rsidRPr="00C07A3A" w:rsidTr="0009160F">
        <w:trPr>
          <w:cantSplit/>
        </w:trPr>
        <w:tc>
          <w:tcPr>
            <w:tcW w:w="1500" w:type="pct"/>
            <w:vAlign w:val="center"/>
          </w:tcPr>
          <w:p w:rsidR="00E873BB" w:rsidRPr="00C07A3A" w:rsidRDefault="00E873BB" w:rsidP="0009160F">
            <w:pPr>
              <w:rPr>
                <w:rFonts w:ascii="Cambria" w:hAnsi="Cambria"/>
                <w:bCs/>
                <w:sz w:val="19"/>
                <w:szCs w:val="19"/>
              </w:rPr>
            </w:pPr>
            <w:r w:rsidRPr="00C07A3A">
              <w:rPr>
                <w:rFonts w:ascii="Cambria" w:hAnsi="Cambria"/>
                <w:bCs/>
                <w:sz w:val="19"/>
                <w:szCs w:val="19"/>
              </w:rPr>
              <w:t>Uzskaites metode</w:t>
            </w:r>
          </w:p>
        </w:tc>
        <w:tc>
          <w:tcPr>
            <w:tcW w:w="3500" w:type="pct"/>
            <w:vAlign w:val="center"/>
          </w:tcPr>
          <w:p w:rsidR="00E873BB" w:rsidRPr="00C07A3A" w:rsidRDefault="00E873BB" w:rsidP="0009160F">
            <w:pPr>
              <w:jc w:val="center"/>
              <w:rPr>
                <w:rFonts w:ascii="Cambria" w:hAnsi="Cambria"/>
                <w:bCs/>
                <w:sz w:val="19"/>
                <w:szCs w:val="19"/>
              </w:rPr>
            </w:pPr>
            <w:r w:rsidRPr="00C07A3A">
              <w:rPr>
                <w:rFonts w:ascii="Cambria" w:hAnsi="Cambria"/>
                <w:bCs/>
                <w:i/>
                <w:sz w:val="19"/>
                <w:szCs w:val="19"/>
              </w:rPr>
              <w:t>papildina ar nepieciešamo informāciju</w:t>
            </w:r>
          </w:p>
        </w:tc>
      </w:tr>
      <w:tr w:rsidR="00E873BB" w:rsidRPr="00C07A3A" w:rsidTr="0009160F">
        <w:trPr>
          <w:cantSplit/>
        </w:trPr>
        <w:tc>
          <w:tcPr>
            <w:tcW w:w="1500" w:type="pct"/>
            <w:vAlign w:val="center"/>
          </w:tcPr>
          <w:p w:rsidR="00E873BB" w:rsidRPr="00C07A3A" w:rsidRDefault="00E873BB" w:rsidP="0009160F">
            <w:pPr>
              <w:rPr>
                <w:rFonts w:ascii="Cambria" w:hAnsi="Cambria"/>
                <w:bCs/>
                <w:sz w:val="19"/>
                <w:szCs w:val="19"/>
              </w:rPr>
            </w:pPr>
            <w:r w:rsidRPr="00C07A3A">
              <w:rPr>
                <w:rFonts w:ascii="Cambria" w:hAnsi="Cambria"/>
                <w:bCs/>
                <w:sz w:val="19"/>
                <w:szCs w:val="19"/>
              </w:rPr>
              <w:t>Norēķinu kārtība</w:t>
            </w:r>
          </w:p>
        </w:tc>
        <w:tc>
          <w:tcPr>
            <w:tcW w:w="3500" w:type="pct"/>
            <w:vAlign w:val="center"/>
          </w:tcPr>
          <w:p w:rsidR="00E873BB" w:rsidRPr="00C07A3A" w:rsidRDefault="00E873BB" w:rsidP="0009160F">
            <w:pPr>
              <w:jc w:val="center"/>
              <w:rPr>
                <w:rFonts w:ascii="Cambria" w:hAnsi="Cambria"/>
                <w:bCs/>
                <w:sz w:val="19"/>
                <w:szCs w:val="19"/>
              </w:rPr>
            </w:pPr>
            <w:r w:rsidRPr="00C07A3A">
              <w:rPr>
                <w:rFonts w:ascii="Cambria" w:hAnsi="Cambria"/>
                <w:bCs/>
                <w:i/>
                <w:sz w:val="19"/>
                <w:szCs w:val="19"/>
              </w:rPr>
              <w:t>papildina ar nepieciešamo informāciju</w:t>
            </w:r>
          </w:p>
        </w:tc>
      </w:tr>
      <w:tr w:rsidR="00E873BB" w:rsidRPr="00C07A3A" w:rsidTr="0009160F">
        <w:trPr>
          <w:cantSplit/>
        </w:trPr>
        <w:tc>
          <w:tcPr>
            <w:tcW w:w="1500" w:type="pct"/>
            <w:vAlign w:val="center"/>
          </w:tcPr>
          <w:p w:rsidR="00E873BB" w:rsidRPr="00C07A3A" w:rsidRDefault="00E873BB" w:rsidP="0009160F">
            <w:pPr>
              <w:rPr>
                <w:rFonts w:ascii="Cambria" w:hAnsi="Cambria"/>
                <w:bCs/>
                <w:sz w:val="19"/>
                <w:szCs w:val="19"/>
              </w:rPr>
            </w:pPr>
            <w:r w:rsidRPr="00C07A3A">
              <w:rPr>
                <w:rFonts w:ascii="Cambria" w:hAnsi="Cambria"/>
                <w:bCs/>
                <w:sz w:val="19"/>
                <w:szCs w:val="19"/>
              </w:rPr>
              <w:t>Speciālie nosacījumi</w:t>
            </w:r>
          </w:p>
        </w:tc>
        <w:tc>
          <w:tcPr>
            <w:tcW w:w="3500" w:type="pct"/>
            <w:vAlign w:val="center"/>
          </w:tcPr>
          <w:p w:rsidR="00E873BB" w:rsidRPr="00C07A3A" w:rsidRDefault="00E873BB" w:rsidP="0009160F">
            <w:pPr>
              <w:jc w:val="center"/>
              <w:rPr>
                <w:rFonts w:ascii="Cambria" w:hAnsi="Cambria"/>
                <w:bCs/>
                <w:sz w:val="19"/>
                <w:szCs w:val="19"/>
              </w:rPr>
            </w:pPr>
            <w:r w:rsidRPr="00C07A3A">
              <w:rPr>
                <w:rFonts w:ascii="Cambria" w:hAnsi="Cambria"/>
                <w:bCs/>
                <w:i/>
                <w:sz w:val="19"/>
                <w:szCs w:val="19"/>
              </w:rPr>
              <w:t>papildina ar nepieciešamo informāciju</w:t>
            </w:r>
          </w:p>
        </w:tc>
      </w:tr>
    </w:tbl>
    <w:p w:rsidR="00E873BB" w:rsidRPr="00C07A3A" w:rsidRDefault="00E873BB" w:rsidP="00E873BB">
      <w:pPr>
        <w:spacing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86"/>
        <w:gridCol w:w="4380"/>
      </w:tblGrid>
      <w:tr w:rsidR="00E873BB" w:rsidRPr="00C07A3A" w:rsidTr="0009160F">
        <w:trPr>
          <w:cantSplit/>
        </w:trPr>
        <w:tc>
          <w:tcPr>
            <w:tcW w:w="2382" w:type="pct"/>
            <w:vAlign w:val="center"/>
          </w:tcPr>
          <w:p w:rsidR="00E873BB" w:rsidRPr="00C07A3A" w:rsidRDefault="00E873BB" w:rsidP="0009160F">
            <w:pPr>
              <w:jc w:val="center"/>
              <w:rPr>
                <w:rFonts w:ascii="Cambria" w:hAnsi="Cambria"/>
                <w:bCs/>
                <w:sz w:val="19"/>
                <w:szCs w:val="19"/>
              </w:rPr>
            </w:pPr>
            <w:r w:rsidRPr="00C07A3A">
              <w:rPr>
                <w:rFonts w:ascii="Cambria" w:hAnsi="Cambria"/>
                <w:bCs/>
                <w:sz w:val="19"/>
                <w:szCs w:val="19"/>
              </w:rPr>
              <w:t>Pakalpojumu sniedzēja vārdā</w:t>
            </w:r>
          </w:p>
        </w:tc>
        <w:tc>
          <w:tcPr>
            <w:tcW w:w="2618" w:type="pct"/>
            <w:vAlign w:val="center"/>
          </w:tcPr>
          <w:p w:rsidR="00E873BB" w:rsidRPr="00C07A3A" w:rsidRDefault="00E873BB" w:rsidP="0009160F">
            <w:pPr>
              <w:jc w:val="center"/>
              <w:rPr>
                <w:rFonts w:ascii="Cambria" w:hAnsi="Cambria"/>
                <w:bCs/>
                <w:sz w:val="19"/>
                <w:szCs w:val="19"/>
              </w:rPr>
            </w:pPr>
            <w:r w:rsidRPr="00C07A3A">
              <w:rPr>
                <w:rFonts w:ascii="Cambria" w:hAnsi="Cambria"/>
                <w:bCs/>
                <w:sz w:val="19"/>
                <w:szCs w:val="19"/>
              </w:rPr>
              <w:t>Pakalpojuma lietotājs/Pilnvarotā persona/ Pārvaldnieks [</w:t>
            </w:r>
            <w:r w:rsidRPr="00C07A3A">
              <w:rPr>
                <w:rFonts w:ascii="Cambria" w:hAnsi="Cambria"/>
                <w:bCs/>
                <w:i/>
                <w:sz w:val="19"/>
                <w:szCs w:val="19"/>
              </w:rPr>
              <w:t>izvēlas attiecīgo līguma slēdzēja pusi</w:t>
            </w:r>
            <w:r w:rsidRPr="00C07A3A">
              <w:rPr>
                <w:rFonts w:ascii="Cambria" w:hAnsi="Cambria"/>
                <w:bCs/>
                <w:sz w:val="19"/>
                <w:szCs w:val="19"/>
              </w:rPr>
              <w:t>]</w:t>
            </w:r>
          </w:p>
        </w:tc>
      </w:tr>
      <w:tr w:rsidR="00E873BB" w:rsidRPr="00C07A3A" w:rsidTr="0009160F">
        <w:trPr>
          <w:cantSplit/>
        </w:trPr>
        <w:tc>
          <w:tcPr>
            <w:tcW w:w="2382" w:type="pct"/>
            <w:vAlign w:val="center"/>
          </w:tcPr>
          <w:p w:rsidR="00E873BB" w:rsidRPr="00C07A3A" w:rsidRDefault="00E873BB" w:rsidP="0009160F">
            <w:pPr>
              <w:rPr>
                <w:rFonts w:ascii="Cambria" w:hAnsi="Cambria"/>
                <w:bCs/>
                <w:sz w:val="19"/>
                <w:szCs w:val="19"/>
              </w:rPr>
            </w:pPr>
            <w:r w:rsidRPr="00C07A3A">
              <w:rPr>
                <w:rFonts w:ascii="Cambria" w:hAnsi="Cambria"/>
                <w:bCs/>
                <w:i/>
                <w:iCs/>
                <w:sz w:val="19"/>
                <w:szCs w:val="19"/>
              </w:rPr>
              <w:t>paraksts</w:t>
            </w:r>
          </w:p>
        </w:tc>
        <w:tc>
          <w:tcPr>
            <w:tcW w:w="2618" w:type="pct"/>
            <w:vAlign w:val="center"/>
          </w:tcPr>
          <w:p w:rsidR="00E873BB" w:rsidRPr="00C07A3A" w:rsidRDefault="00E873BB" w:rsidP="0009160F">
            <w:pPr>
              <w:jc w:val="center"/>
              <w:rPr>
                <w:rFonts w:ascii="Cambria" w:hAnsi="Cambria"/>
                <w:bCs/>
                <w:sz w:val="19"/>
                <w:szCs w:val="19"/>
              </w:rPr>
            </w:pPr>
            <w:r w:rsidRPr="00C07A3A">
              <w:rPr>
                <w:rFonts w:ascii="Cambria" w:hAnsi="Cambria"/>
                <w:bCs/>
                <w:i/>
                <w:iCs/>
                <w:sz w:val="19"/>
                <w:szCs w:val="19"/>
              </w:rPr>
              <w:t>paraksts</w:t>
            </w:r>
          </w:p>
        </w:tc>
      </w:tr>
      <w:tr w:rsidR="00E873BB" w:rsidRPr="00C07A3A" w:rsidTr="0009160F">
        <w:trPr>
          <w:cantSplit/>
        </w:trPr>
        <w:tc>
          <w:tcPr>
            <w:tcW w:w="2382" w:type="pct"/>
            <w:vAlign w:val="center"/>
          </w:tcPr>
          <w:p w:rsidR="00E873BB" w:rsidRPr="00C07A3A" w:rsidRDefault="00E873BB" w:rsidP="0009160F">
            <w:pPr>
              <w:rPr>
                <w:rFonts w:ascii="Cambria" w:hAnsi="Cambria"/>
                <w:bCs/>
                <w:sz w:val="19"/>
                <w:szCs w:val="19"/>
              </w:rPr>
            </w:pPr>
            <w:r w:rsidRPr="00C07A3A">
              <w:rPr>
                <w:rFonts w:ascii="Cambria" w:hAnsi="Cambria"/>
                <w:bCs/>
                <w:sz w:val="19"/>
                <w:szCs w:val="19"/>
              </w:rPr>
              <w:t>Vārds, uzvārds</w:t>
            </w:r>
          </w:p>
        </w:tc>
        <w:tc>
          <w:tcPr>
            <w:tcW w:w="2618" w:type="pct"/>
            <w:vAlign w:val="center"/>
          </w:tcPr>
          <w:p w:rsidR="00E873BB" w:rsidRPr="00C07A3A" w:rsidRDefault="00E873BB" w:rsidP="0009160F">
            <w:pPr>
              <w:jc w:val="center"/>
              <w:rPr>
                <w:rFonts w:ascii="Cambria" w:hAnsi="Cambria"/>
                <w:bCs/>
                <w:sz w:val="19"/>
                <w:szCs w:val="19"/>
              </w:rPr>
            </w:pPr>
            <w:r w:rsidRPr="00C07A3A">
              <w:rPr>
                <w:rFonts w:ascii="Cambria" w:hAnsi="Cambria"/>
                <w:bCs/>
                <w:sz w:val="19"/>
                <w:szCs w:val="19"/>
              </w:rPr>
              <w:t>Vārds, uzvārds</w:t>
            </w:r>
          </w:p>
        </w:tc>
      </w:tr>
      <w:tr w:rsidR="00E873BB" w:rsidRPr="00C07A3A" w:rsidTr="0009160F">
        <w:trPr>
          <w:cantSplit/>
        </w:trPr>
        <w:tc>
          <w:tcPr>
            <w:tcW w:w="2382" w:type="pct"/>
            <w:vAlign w:val="center"/>
          </w:tcPr>
          <w:p w:rsidR="00E873BB" w:rsidRPr="00C07A3A" w:rsidRDefault="00E873BB" w:rsidP="0009160F">
            <w:pPr>
              <w:rPr>
                <w:rFonts w:ascii="Cambria" w:hAnsi="Cambria"/>
                <w:bCs/>
                <w:sz w:val="19"/>
                <w:szCs w:val="19"/>
              </w:rPr>
            </w:pPr>
            <w:r w:rsidRPr="00C07A3A">
              <w:rPr>
                <w:rFonts w:ascii="Cambria" w:hAnsi="Cambria"/>
                <w:bCs/>
                <w:sz w:val="19"/>
                <w:szCs w:val="19"/>
              </w:rPr>
              <w:t>Amats</w:t>
            </w:r>
          </w:p>
        </w:tc>
        <w:tc>
          <w:tcPr>
            <w:tcW w:w="2618" w:type="pct"/>
            <w:vAlign w:val="center"/>
          </w:tcPr>
          <w:p w:rsidR="00E873BB" w:rsidRPr="00C07A3A" w:rsidRDefault="00E873BB" w:rsidP="0009160F">
            <w:pPr>
              <w:jc w:val="center"/>
              <w:rPr>
                <w:rFonts w:ascii="Cambria" w:hAnsi="Cambria"/>
                <w:bCs/>
                <w:sz w:val="19"/>
                <w:szCs w:val="19"/>
              </w:rPr>
            </w:pPr>
            <w:r w:rsidRPr="00C07A3A">
              <w:rPr>
                <w:rFonts w:ascii="Cambria" w:hAnsi="Cambria"/>
                <w:bCs/>
                <w:sz w:val="19"/>
                <w:szCs w:val="19"/>
              </w:rPr>
              <w:t xml:space="preserve">Amats (ja </w:t>
            </w:r>
            <w:proofErr w:type="spellStart"/>
            <w:r w:rsidRPr="00C07A3A">
              <w:rPr>
                <w:rFonts w:ascii="Cambria" w:hAnsi="Cambria"/>
                <w:bCs/>
                <w:sz w:val="19"/>
                <w:szCs w:val="19"/>
              </w:rPr>
              <w:t>jur.pers</w:t>
            </w:r>
            <w:proofErr w:type="spellEnd"/>
            <w:r w:rsidRPr="00C07A3A">
              <w:rPr>
                <w:rFonts w:ascii="Cambria" w:hAnsi="Cambria"/>
                <w:bCs/>
                <w:sz w:val="19"/>
                <w:szCs w:val="19"/>
              </w:rPr>
              <w:t>.)</w:t>
            </w:r>
          </w:p>
        </w:tc>
      </w:tr>
      <w:tr w:rsidR="00E873BB" w:rsidRPr="00C07A3A" w:rsidTr="0009160F">
        <w:trPr>
          <w:cantSplit/>
        </w:trPr>
        <w:tc>
          <w:tcPr>
            <w:tcW w:w="2382" w:type="pct"/>
            <w:vAlign w:val="center"/>
          </w:tcPr>
          <w:p w:rsidR="00E873BB" w:rsidRPr="00C07A3A" w:rsidRDefault="00E873BB" w:rsidP="0009160F">
            <w:pPr>
              <w:rPr>
                <w:rFonts w:ascii="Cambria" w:hAnsi="Cambria"/>
                <w:bCs/>
                <w:sz w:val="19"/>
                <w:szCs w:val="19"/>
              </w:rPr>
            </w:pPr>
            <w:r w:rsidRPr="00C07A3A">
              <w:rPr>
                <w:rFonts w:ascii="Cambria" w:hAnsi="Cambria"/>
                <w:bCs/>
                <w:sz w:val="19"/>
                <w:szCs w:val="19"/>
              </w:rPr>
              <w:t>Datums</w:t>
            </w:r>
          </w:p>
        </w:tc>
        <w:tc>
          <w:tcPr>
            <w:tcW w:w="2618" w:type="pct"/>
            <w:vAlign w:val="center"/>
          </w:tcPr>
          <w:p w:rsidR="00E873BB" w:rsidRPr="00C07A3A" w:rsidRDefault="00E873BB" w:rsidP="0009160F">
            <w:pPr>
              <w:jc w:val="center"/>
              <w:rPr>
                <w:rFonts w:ascii="Cambria" w:hAnsi="Cambria"/>
                <w:bCs/>
                <w:sz w:val="19"/>
                <w:szCs w:val="19"/>
              </w:rPr>
            </w:pPr>
            <w:r w:rsidRPr="00C07A3A">
              <w:rPr>
                <w:rFonts w:ascii="Cambria" w:hAnsi="Cambria"/>
                <w:bCs/>
                <w:sz w:val="19"/>
                <w:szCs w:val="19"/>
              </w:rPr>
              <w:t>Datums</w:t>
            </w:r>
          </w:p>
        </w:tc>
      </w:tr>
    </w:tbl>
    <w:p w:rsidR="00E873BB" w:rsidRPr="00C07A3A" w:rsidRDefault="00E873BB" w:rsidP="00E873BB">
      <w:pPr>
        <w:spacing w:before="110" w:line="260" w:lineRule="exact"/>
        <w:ind w:firstLine="539"/>
        <w:jc w:val="both"/>
        <w:rPr>
          <w:rFonts w:ascii="Cambria" w:hAnsi="Cambria"/>
          <w:sz w:val="19"/>
          <w:szCs w:val="19"/>
          <w:lang w:eastAsia="en-US"/>
        </w:rPr>
      </w:pPr>
    </w:p>
    <w:p w:rsidR="00E873BB" w:rsidRPr="00C07A3A" w:rsidRDefault="00E873BB" w:rsidP="00E873BB">
      <w:pPr>
        <w:spacing w:before="110" w:line="260" w:lineRule="exact"/>
        <w:jc w:val="center"/>
        <w:rPr>
          <w:rFonts w:ascii="Cambria" w:hAnsi="Cambria"/>
          <w:b/>
          <w:bCs/>
          <w:sz w:val="19"/>
          <w:szCs w:val="19"/>
        </w:rPr>
      </w:pPr>
      <w:r w:rsidRPr="00C07A3A">
        <w:rPr>
          <w:rFonts w:ascii="Cambria" w:hAnsi="Cambria"/>
          <w:b/>
          <w:bCs/>
          <w:sz w:val="19"/>
          <w:szCs w:val="19"/>
        </w:rPr>
        <w:t>LĪGUMA VISPĀRĪGIE NOTEIKUMI</w:t>
      </w:r>
    </w:p>
    <w:p w:rsidR="00E873BB" w:rsidRPr="00C07A3A" w:rsidRDefault="00E873BB" w:rsidP="00E873BB">
      <w:pPr>
        <w:spacing w:before="110" w:line="260" w:lineRule="exact"/>
        <w:ind w:firstLine="539"/>
        <w:jc w:val="both"/>
        <w:rPr>
          <w:rFonts w:ascii="Cambria" w:hAnsi="Cambria"/>
          <w:sz w:val="19"/>
          <w:szCs w:val="19"/>
          <w:lang w:eastAsia="en-US"/>
        </w:rPr>
      </w:pP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1. Pakalpojumu sniedzēja pienākumi.</w:t>
      </w: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1.1. Nodrošināt normatīviem aktiem un Pakalpojuma līguma nosacījumiem atbilstošu ūdenssaimniecības pakalpojumu (turpmāk – pakalpojumi) kvalitāti un kvantitāti.</w:t>
      </w: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1.2. Noplombēt komercuzskaites mēraparātu, sastādīt plombēšanas aktu, nodrošināt mēraparāta verificēšanu.</w:t>
      </w: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1.3. Savlaicīgi brīdināt medijos par plānotiem remontiem ūdensapgādes un kanalizācijas tīklos.</w:t>
      </w: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2. Pakalpojumu sniedzēja tiesības.</w:t>
      </w: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2.1. Bez iepriekšēja brīdinājuma pārtraukt sniegt pakalpojumus:</w:t>
      </w:r>
    </w:p>
    <w:p w:rsidR="00E873BB" w:rsidRPr="00C07A3A" w:rsidRDefault="00E873BB" w:rsidP="00E873BB">
      <w:pPr>
        <w:spacing w:before="110" w:line="260" w:lineRule="exact"/>
        <w:ind w:firstLine="539"/>
        <w:jc w:val="both"/>
        <w:rPr>
          <w:rFonts w:ascii="Cambria" w:hAnsi="Cambria"/>
          <w:bCs/>
          <w:sz w:val="19"/>
          <w:szCs w:val="19"/>
        </w:rPr>
      </w:pPr>
      <w:r w:rsidRPr="00C07A3A">
        <w:rPr>
          <w:rFonts w:ascii="Cambria" w:hAnsi="Cambria"/>
          <w:bCs/>
          <w:sz w:val="19"/>
          <w:szCs w:val="19"/>
        </w:rPr>
        <w:t>2.1.1. uz laiku samazināt vai pārtraukt ūdens piegādi un notekūdeņu novadīšanu, ja ir pārtraukta elektroenerģijas piegāde ūdenssaimniecības būvēm vai no centralizētās ūdensapgādes sistēmas ir palielināta ūdens piegāde ugunsgrēka vietai, kā arī dabas katastrofu vai avāriju laikā;</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lastRenderedPageBreak/>
        <w:t xml:space="preserve">2.1.2. ja Lietotājs nav nodrošinājis komercuzskaites mēraparāta saglabāšanu, to patvaļīgi regulējis, noņēmis plombu no komercuzskaites mēraparāta mezgla, ugunsdzēsības </w:t>
      </w:r>
      <w:proofErr w:type="spellStart"/>
      <w:r w:rsidRPr="00C07A3A">
        <w:rPr>
          <w:rFonts w:ascii="Cambria" w:hAnsi="Cambria"/>
          <w:bCs/>
          <w:sz w:val="19"/>
          <w:szCs w:val="19"/>
        </w:rPr>
        <w:t>noslēgarmatūras</w:t>
      </w:r>
      <w:proofErr w:type="spellEnd"/>
      <w:r w:rsidRPr="00C07A3A">
        <w:rPr>
          <w:rFonts w:ascii="Cambria" w:hAnsi="Cambria"/>
          <w:bCs/>
          <w:sz w:val="19"/>
          <w:szCs w:val="19"/>
        </w:rPr>
        <w:t xml:space="preserve"> vai hidranta;</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2.1.3. ja Lietotājs neievēro Līgumā noteikto ūdens lietošanas un notekūdeņu novadīšanas kārtību, tai skaitā prasības notekūdeņu sastāvam un piesārņojošo vielu koncentrācijai, kas var izraisīt vai izraisa avāriju centralizētajā kanalizācijas sistēmā vai notekūdeņu attīrīšanas iekārtas darbības traucējumus;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2.1.4. ja nekustamā īpašuma īpašnieks vai valdītājs ir ierīkojis patvaļīgu pieslēgumu pie centralizētās ūdensapgādes vai centralizētās kanalizācijas sistēmas;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2.1.5. ja Lietotājs savās atbildības robežās (skatīt – Tīklu apkalpošanas robežu akts) esošos ūdensapgādes un/vai kanalizācijas tīklos nav novērsis bojājumus, kuri ietekmē centralizēto ūdensapgādes un/vai kanalizācijas sistēmu, vai nodara kaitējumu citiem Lietotājiem.</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2.2. Pārtraukt sniegt pakalpojumus un lauzt Līgumu, par to rakstiski brīdinot Lietotāju 10 (desmit) kalendārās dienas iepriekš, ja Lietotājs: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2.2.1. ar savu darbību vai bezdarbību traucē Pakalpojumu sniedzēja darbiniekam piekļūt pie ūdensapgādes vai kanalizācijas tīkliem un būvēm, kā arī komercuzskaites mēraparāta mezglam;</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2.2.2. ilgāk par trim mēnešiem nesniedz ziņas, kas nepieciešamas ūdenssaimniecības pakalpojumu uzskaitei;</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2.2.3. Pakalpojumu sniedzēja noteiktajā termiņa nav nodrošinājis komercuzskaites mezgla sakārtošanu.</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2.3. Pārtraukt sniegt pakalpojumus, par to rakstiski brīdinot Lietotāju 30 (trīsdesmit) kalendārās dienas iepriekš, ja Lietotājs lieto pakalpojumus pēc Līguma izbeigšanas, neveic maksājumus par sniegtajiem pakalpojumiem Līgumā noteiktajā kārtībā vai citus ar pakalpojumiem saistītos Pakalpojumu sniedzēja aprēķinātos maksājumus, tai skaitā nemaksā aprēķināto kompensāciju par pakalpojumu lietošanas noteikumu pārkāpšanu, ir apturēta Lietotāja saimnieciskā darbība, pasludināts maksātnespējas process, uzsākta bankrota procedūra vai likvidācijas process. Atkārtoti Lietotājs rakstiski tiek brīdināts 3 (trīs) darba dienas pirms pakalpojumu pārtraukšanas.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2.4. Noplombēt Lietotāja vietējo ūdens ieguves skaitītāju un/vai notekūdeņu plūsmas mērītāju un sastādīt aktus, kontrolēt rādījumu nolasījumu pareizību, kontrolierīču ekspluatācijas prasību ievērošanu, veikt ārpuskārtas rādījumu pārbaudes, uzlikt kontrolskaitītājus.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2.5. Noteikt Lietotāja notekūdeņu piesārņojuma pakāpi akreditētā laboratorijā.</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2.6. Paziņojums par piesārņojošo vielu pieļaujamās koncentrācijas (turpmāk – PK) pārsniegšanu noņemtajā paraugā tiek nosūtīts Lietotājam ne vēlāk kā 10 (desmit) darba dienas pēc parauga noņemšanas.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2.7. Ja konstatēts notekūdeņu piesārņojums, kas pārsniedz pašvaldības saistošajos noteikumos "Sabiedrisko ūdenssaimniecības pakalpojumu sniegšanas un lietošanas kārtība Jūrmalas pilsētas pašvaldībā" noteiktās piesārņojošo vielu PK, Pakalpojumu sniedzējs aprēķina kompensāciju par Līguma noteikumu pārkāpšanu, izmantojot šādu formulu:</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V= T x K x (R – 1), kur</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V – kompensācijas apmērs;</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T – kanalizācijas pakalpojumu tarifs vai maksa [izvēlas atbilstoši Speciālo noteikumu 2.2.punktam];</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K – novadīto notekūdeņu daudzums kubikmetros (m3);</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R – piesārņojošās vielas pieļaujamās koncentrācijas vislielākā pārsniegšanas reize, ko aprēķina, izmantojot šādu formulu:</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lastRenderedPageBreak/>
        <w:t>R=E/M, kur</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E – pārbaudē konstatētā piesārņojošās vielas koncentrācija notekūdeņos (mg/l);</w:t>
      </w:r>
    </w:p>
    <w:p w:rsidR="00E873BB" w:rsidRPr="00C07A3A" w:rsidRDefault="00E873BB" w:rsidP="00E873BB">
      <w:pPr>
        <w:spacing w:before="120" w:line="260" w:lineRule="exact"/>
        <w:ind w:firstLine="539"/>
        <w:jc w:val="both"/>
        <w:rPr>
          <w:rFonts w:ascii="Cambria" w:hAnsi="Cambria"/>
          <w:bCs/>
          <w:sz w:val="19"/>
          <w:szCs w:val="19"/>
        </w:rPr>
      </w:pPr>
      <w:r w:rsidRPr="00C07A3A">
        <w:rPr>
          <w:rFonts w:ascii="Cambria" w:hAnsi="Cambria"/>
          <w:bCs/>
          <w:sz w:val="19"/>
          <w:szCs w:val="19"/>
        </w:rPr>
        <w:t>M – pašvaldības saistošajos noteikumos vai Līgumā noteiktā pieļaujamā piesārņojošo vielu koncentrācija notekūdeņos (mg/l).</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2.8. Šo kompensāciju Pakalpojumu sniedzējs sāk aprēķināt par norēķinu periodu, kurā tika konstatēts PK</w:t>
      </w:r>
      <w:r>
        <w:rPr>
          <w:rFonts w:ascii="Cambria" w:hAnsi="Cambria"/>
          <w:bCs/>
          <w:sz w:val="19"/>
          <w:szCs w:val="19"/>
        </w:rPr>
        <w:t> </w:t>
      </w:r>
      <w:r w:rsidRPr="00C07A3A">
        <w:rPr>
          <w:rFonts w:ascii="Cambria" w:hAnsi="Cambria"/>
          <w:bCs/>
          <w:sz w:val="19"/>
          <w:szCs w:val="19"/>
        </w:rPr>
        <w:t>pārsniegums notekūdeņos, un tā tiek piemērota līdz nākamajai notekūdeņu pārbaudei.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2.9. Nodot Lietotāja parādu piedziņu par sniegtajiem pakalpojumiem parādu piedziņas sabiedrībām.</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3. Lietotāja tiesības.</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Prasīt no Pakalpojumu sniedzēja visu Līgumā paredzēto pakalpojumu un pienākumu savlaicīgu izpildi.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 Lietotāja pienākumi: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4.1. nodrošināt komercuzskaites mēraparāta mezgla izbūvi komercuzskaites mēraparāta uzstādīšanai vai nomaiņai;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4.2. nodrošināt netraucētu pieeju komercuzskaites mēraparāta mezglam, lai varētu veikt tehniski nepieciešamās darbības ar komercuzskaites mēraparātu, kā arī aizsargāt komercuzskaites mēraparāta mezglu un komercuzskaites mēraparātu no bojājumiem, tai skaitā, nodrošināt atbilstošu temperatūru ne zemāk par +5°, hidroizolāciju, nekavējoši, 24 stundu laikā, ziņot par konstatētajiem skaitītāju bojājumiem un darbības traucējumiem;</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4.3. pastāvīgi glabāt visu sava nekustamā īpašuma teritorijā izbūvēto un savā īpašumā esošo ūdensvada un kanalizācijas sistēmu tehnisko dokumentāciju, kurai atbilstoši normatīvo aktu prasībām ir jābūt;</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4.4. uzraudzīt atbildības robežās, kas noteiktas Tīklu apkalpošanas robežu aktā, esošās ūdensapgādes sistēmas un kanalizācijas sistēmas tehnisko stāvokli;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4.5. bez saskaņošanas ar Pakalpojumu sniedzēju neveikt tādas darbības, kuras apgrūtina ūdensapgādes un kanalizācijas pakalpojumu saņemšanu cita personai;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4.6. norēķināties ar Pakalpojumu sniedzēju par tā sniegtajiem pakalpojumiem Līguma noteiktajā kārtībā un termiņā;</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4.7. ja Lietotājs ir novērsis piesārņojošo vielu koncentrācijas virsnormas pārsniegumus centralizētajā kanalizācijas sistēmā novadāmajos notekūdeņos, Pakalpojumu sniedzējs pēc Lietotāja pieprasījuma veic notekūdeņu paraugu ņemšanu un analīzi akreditētā laboratorijā. Samaksu par minētajām darbībām veic Lietotājs pēc attiecīgi izrakstīta Pakalpojumu sniedzēja rēķina;</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 rakstiski ziņot Pakalpojumu sniedzējam 10 (desmit) kalendāro dienu laikā par:</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4.8.1. nekustamā īpašuma īpašnieka, tā pilnvarotas personas vai pārvaldnieka, kurš veic saimniecisko/komercdarbību maiņu;</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4.8.2. paredzamo komercdarbības pārtraukšanu [ja attiecināms];</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4.8.3. izmaiņām ūdens lietošanas mērķos, paredzamajām apjoma un PK izmaiņām, kas saistītas ar ūdens patēriņu un notekūdeņu novadīšanu;</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4.8.4. izmaiņām Lietotāja juridiskajā statusā, bankas rekvizītos;</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4.8.5. Lietotāja maksātnespējas procesa sākšanos;</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4.8.6. blakus klienta pieslēgšanos Lietotāja ēku vai teritorijas iekšējiem ūdensvada un kanalizācija tīkliem.</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lastRenderedPageBreak/>
        <w:t>4.9. Ja Līgums tiek izbeigts, Lietotājs rēķinā norādītajā termiņā veic pilnu norēķinu par tiem ūdensapgādes un kanalizācijas pakalpojumiem, ko tas ir saņēmis līdz Līguma izbeigšanai.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 Pušu atbildība un strīdu izšķiršanas kārtība.</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5.1. Ja ir iestājies kāds no gadījumiem, kas minēts 4.8.punktā, Lietotājam jānorēķinās par visiem saņemtajiem pakalpojumiem, līdz brīdim, kad Pakalpojumu sniedzējs ir noslēdzis Līgumu ar jauno Lietotāju, ja tas ir saistoši.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5.2. Ja Lietotājs patvarīgi lietojis pakalpojumu, veicis pretlikumīgas darbības attiecībā uz kontrolierīcēm, tiek noteikta maksa atbilstoši spēkā esošajiem normatīvajiem aktiem.</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5.3. Pakalpojumu sniedzējs neatbild par trešo personu darbībām, kā rezultātā ūdensapgādes un/vai kanalizācijas pakalpojumu sniegšana Lietotājam kļūst neiespējama. Tas attiecas arī uz gadījumiem, kad Lietotāja ūdensapgādes un/vai kanalizācijas tīkli iet caur citu īpašnieku gruntsgabaliem (teritoriju), kuriem tiek pārtraukta pakalpojumu sniegšana.</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5.4. Lietotājs ir atbildīgs pilnā apmērā, ja savas prettiesiskās rīcības rezultātā nodarīti zaudējumi Pakalpojumu sniedzējam vai trešajai pusei.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5.5. Visu citu jautājumu risināšanā, kas nav paredzēti Līgumā, Puses ievēro spēkā esošos Latvijas Republikas likumus un citus normatīvos aktus.</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5.6. Strīdus, kas radušies Līguma izpildes laikā, ja tos nav izdevies Pusēm izšķirt, savstarpēji vienojoties sarunu ceļā, izskata tiesā.</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6. Līguma termiņš, grozījumi</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6.1. Ar Līguma spēkā stāšanos dienu spēku zaudē iepriekš noslēgtie līgumi starp Pakalpojumu sniedzēju un Pakalpojumu lietotāju, par pakalpojumiem šajā īpašumā.</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6.2. Līgums ir spēkā no _____________ un ir spēkā līdz brīdim, kad viena vai otra Puse, mēnesi iepriekš, rakstiski brīdinot otru Pusi, pārtrauc Līguma darbību. Pušu pieņemtie Līguma grozījumi un papildinājumi noformējami rakstveidā.</w:t>
      </w:r>
    </w:p>
    <w:p w:rsidR="00E873BB" w:rsidRPr="00C07A3A" w:rsidRDefault="00E873BB" w:rsidP="00E873BB">
      <w:pPr>
        <w:spacing w:before="130" w:line="260" w:lineRule="exact"/>
        <w:ind w:firstLine="539"/>
        <w:jc w:val="both"/>
        <w:rPr>
          <w:rFonts w:ascii="Cambria" w:hAnsi="Cambria"/>
          <w:bCs/>
          <w:sz w:val="19"/>
          <w:szCs w:val="19"/>
        </w:rPr>
      </w:pPr>
      <w:r w:rsidRPr="00C07A3A">
        <w:rPr>
          <w:rFonts w:ascii="Cambria" w:hAnsi="Cambria"/>
          <w:bCs/>
          <w:sz w:val="19"/>
          <w:szCs w:val="19"/>
        </w:rPr>
        <w:t>6.3. Līgums sastādīts divos vienādos eksemplāros, no kuriem viens atrodas pie Pakalpojumu sniedzēja, otrs – pie Pakalpojumu lietotāja.</w:t>
      </w:r>
    </w:p>
    <w:p w:rsidR="00E873BB" w:rsidRPr="00C07A3A" w:rsidRDefault="00E873BB" w:rsidP="00E873BB">
      <w:pPr>
        <w:spacing w:before="130"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86"/>
        <w:gridCol w:w="4380"/>
      </w:tblGrid>
      <w:tr w:rsidR="00E873BB" w:rsidRPr="00C07A3A" w:rsidTr="0009160F">
        <w:trPr>
          <w:cantSplit/>
        </w:trPr>
        <w:tc>
          <w:tcPr>
            <w:tcW w:w="2382" w:type="pct"/>
            <w:vAlign w:val="center"/>
            <w:hideMark/>
          </w:tcPr>
          <w:p w:rsidR="00E873BB" w:rsidRPr="00C07A3A" w:rsidRDefault="00E873BB" w:rsidP="0009160F">
            <w:pPr>
              <w:jc w:val="center"/>
              <w:rPr>
                <w:rFonts w:ascii="Cambria" w:hAnsi="Cambria"/>
                <w:b/>
                <w:bCs/>
                <w:sz w:val="19"/>
                <w:szCs w:val="19"/>
              </w:rPr>
            </w:pPr>
            <w:r w:rsidRPr="00C07A3A">
              <w:rPr>
                <w:rFonts w:ascii="Cambria" w:hAnsi="Cambria"/>
                <w:b/>
                <w:bCs/>
                <w:sz w:val="19"/>
                <w:szCs w:val="19"/>
              </w:rPr>
              <w:t>Pakalpojumu sniedzējs</w:t>
            </w:r>
          </w:p>
        </w:tc>
        <w:tc>
          <w:tcPr>
            <w:tcW w:w="2618" w:type="pct"/>
            <w:vAlign w:val="center"/>
            <w:hideMark/>
          </w:tcPr>
          <w:p w:rsidR="00E873BB" w:rsidRPr="00C07A3A" w:rsidRDefault="00E873BB" w:rsidP="0009160F">
            <w:pPr>
              <w:jc w:val="center"/>
              <w:rPr>
                <w:rFonts w:ascii="Cambria" w:hAnsi="Cambria"/>
                <w:b/>
                <w:bCs/>
                <w:sz w:val="19"/>
                <w:szCs w:val="19"/>
              </w:rPr>
            </w:pPr>
            <w:r w:rsidRPr="00C07A3A">
              <w:rPr>
                <w:rFonts w:ascii="Cambria" w:hAnsi="Cambria"/>
                <w:b/>
                <w:bCs/>
                <w:sz w:val="19"/>
                <w:szCs w:val="19"/>
              </w:rPr>
              <w:t>Pakalpojumu lietotājs / Pilnvarotā persona / Pārvaldnieks</w:t>
            </w:r>
            <w:r w:rsidRPr="00C07A3A">
              <w:rPr>
                <w:rFonts w:ascii="Cambria" w:hAnsi="Cambria"/>
                <w:b/>
                <w:bCs/>
                <w:sz w:val="19"/>
                <w:szCs w:val="19"/>
              </w:rPr>
              <w:br/>
            </w:r>
            <w:r w:rsidRPr="00C07A3A">
              <w:rPr>
                <w:rFonts w:ascii="Cambria" w:hAnsi="Cambria"/>
                <w:bCs/>
                <w:sz w:val="19"/>
                <w:szCs w:val="19"/>
              </w:rPr>
              <w:t>[izvēlas attiecīgo līguma slēdzēja pusi]</w:t>
            </w:r>
          </w:p>
        </w:tc>
      </w:tr>
      <w:tr w:rsidR="00E873BB" w:rsidRPr="00C07A3A" w:rsidTr="0009160F">
        <w:trPr>
          <w:cantSplit/>
        </w:trPr>
        <w:tc>
          <w:tcPr>
            <w:tcW w:w="2382" w:type="pct"/>
            <w:vAlign w:val="center"/>
            <w:hideMark/>
          </w:tcPr>
          <w:p w:rsidR="00E873BB" w:rsidRPr="00C07A3A" w:rsidRDefault="00E873BB" w:rsidP="0009160F">
            <w:pPr>
              <w:rPr>
                <w:rFonts w:ascii="Cambria" w:hAnsi="Cambria"/>
                <w:bCs/>
                <w:i/>
                <w:iCs/>
                <w:sz w:val="19"/>
                <w:szCs w:val="19"/>
              </w:rPr>
            </w:pPr>
            <w:r w:rsidRPr="00C07A3A">
              <w:rPr>
                <w:rFonts w:ascii="Cambria" w:hAnsi="Cambria"/>
                <w:bCs/>
                <w:i/>
                <w:iCs/>
                <w:sz w:val="19"/>
                <w:szCs w:val="19"/>
              </w:rPr>
              <w:t>Vārds, uzvārds</w:t>
            </w:r>
          </w:p>
        </w:tc>
        <w:tc>
          <w:tcPr>
            <w:tcW w:w="2618" w:type="pct"/>
            <w:vAlign w:val="center"/>
            <w:hideMark/>
          </w:tcPr>
          <w:p w:rsidR="00E873BB" w:rsidRPr="00C07A3A" w:rsidRDefault="00E873BB" w:rsidP="0009160F">
            <w:pPr>
              <w:rPr>
                <w:rFonts w:ascii="Cambria" w:hAnsi="Cambria"/>
                <w:bCs/>
                <w:i/>
                <w:iCs/>
                <w:sz w:val="19"/>
                <w:szCs w:val="19"/>
              </w:rPr>
            </w:pPr>
            <w:r w:rsidRPr="00C07A3A">
              <w:rPr>
                <w:rFonts w:ascii="Cambria" w:hAnsi="Cambria"/>
                <w:bCs/>
                <w:i/>
                <w:iCs/>
                <w:sz w:val="19"/>
                <w:szCs w:val="19"/>
              </w:rPr>
              <w:t>Vārds, uzvārds</w:t>
            </w:r>
          </w:p>
        </w:tc>
      </w:tr>
      <w:tr w:rsidR="00E873BB" w:rsidRPr="00C07A3A" w:rsidTr="0009160F">
        <w:trPr>
          <w:cantSplit/>
        </w:trPr>
        <w:tc>
          <w:tcPr>
            <w:tcW w:w="2382"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Kontaktinformācija, adrese</w:t>
            </w:r>
          </w:p>
        </w:tc>
        <w:tc>
          <w:tcPr>
            <w:tcW w:w="2618"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Reģistrācijas Nr. / personas kods</w:t>
            </w:r>
          </w:p>
        </w:tc>
      </w:tr>
      <w:tr w:rsidR="00E873BB" w:rsidRPr="00C07A3A" w:rsidTr="0009160F">
        <w:trPr>
          <w:cantSplit/>
        </w:trPr>
        <w:tc>
          <w:tcPr>
            <w:tcW w:w="2382"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Tālrunis / Fakss</w:t>
            </w:r>
          </w:p>
        </w:tc>
        <w:tc>
          <w:tcPr>
            <w:tcW w:w="2618"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Tālrunis / Fakss</w:t>
            </w:r>
          </w:p>
        </w:tc>
      </w:tr>
      <w:tr w:rsidR="00E873BB" w:rsidRPr="00C07A3A" w:rsidTr="0009160F">
        <w:trPr>
          <w:cantSplit/>
        </w:trPr>
        <w:tc>
          <w:tcPr>
            <w:tcW w:w="2382"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e-pasts</w:t>
            </w:r>
          </w:p>
        </w:tc>
        <w:tc>
          <w:tcPr>
            <w:tcW w:w="2618" w:type="pct"/>
            <w:vAlign w:val="center"/>
            <w:hideMark/>
          </w:tcPr>
          <w:p w:rsidR="00E873BB" w:rsidRPr="00C07A3A" w:rsidRDefault="00E873BB" w:rsidP="0009160F">
            <w:pPr>
              <w:rPr>
                <w:rFonts w:ascii="Cambria" w:hAnsi="Cambria"/>
                <w:bCs/>
                <w:sz w:val="19"/>
                <w:szCs w:val="19"/>
              </w:rPr>
            </w:pPr>
            <w:r w:rsidRPr="00C07A3A">
              <w:rPr>
                <w:rFonts w:ascii="Cambria" w:hAnsi="Cambria"/>
                <w:bCs/>
                <w:sz w:val="19"/>
                <w:szCs w:val="19"/>
              </w:rPr>
              <w:t>e-pasts</w:t>
            </w:r>
          </w:p>
        </w:tc>
      </w:tr>
      <w:tr w:rsidR="00E873BB" w:rsidRPr="00C07A3A" w:rsidTr="0009160F">
        <w:trPr>
          <w:cantSplit/>
        </w:trPr>
        <w:tc>
          <w:tcPr>
            <w:tcW w:w="2382" w:type="pct"/>
            <w:vAlign w:val="center"/>
            <w:hideMark/>
          </w:tcPr>
          <w:p w:rsidR="00E873BB" w:rsidRPr="00C07A3A" w:rsidRDefault="00E873BB" w:rsidP="0009160F">
            <w:pPr>
              <w:rPr>
                <w:rFonts w:ascii="Cambria" w:hAnsi="Cambria"/>
                <w:bCs/>
                <w:i/>
                <w:iCs/>
                <w:sz w:val="19"/>
                <w:szCs w:val="19"/>
              </w:rPr>
            </w:pPr>
            <w:r w:rsidRPr="00C07A3A">
              <w:rPr>
                <w:rFonts w:ascii="Cambria" w:hAnsi="Cambria"/>
                <w:bCs/>
                <w:i/>
                <w:iCs/>
                <w:sz w:val="19"/>
                <w:szCs w:val="19"/>
              </w:rPr>
              <w:t>paraksts</w:t>
            </w:r>
          </w:p>
        </w:tc>
        <w:tc>
          <w:tcPr>
            <w:tcW w:w="2618" w:type="pct"/>
            <w:vAlign w:val="center"/>
            <w:hideMark/>
          </w:tcPr>
          <w:p w:rsidR="00E873BB" w:rsidRPr="00C07A3A" w:rsidRDefault="00E873BB" w:rsidP="0009160F">
            <w:pPr>
              <w:rPr>
                <w:rFonts w:ascii="Cambria" w:hAnsi="Cambria"/>
                <w:bCs/>
                <w:i/>
                <w:iCs/>
                <w:sz w:val="19"/>
                <w:szCs w:val="19"/>
              </w:rPr>
            </w:pPr>
            <w:r w:rsidRPr="00C07A3A">
              <w:rPr>
                <w:rFonts w:ascii="Cambria" w:hAnsi="Cambria"/>
                <w:bCs/>
                <w:i/>
                <w:iCs/>
                <w:sz w:val="19"/>
                <w:szCs w:val="19"/>
              </w:rPr>
              <w:t>paraksts</w:t>
            </w:r>
          </w:p>
        </w:tc>
      </w:tr>
    </w:tbl>
    <w:p w:rsidR="0098728C" w:rsidRDefault="0098728C">
      <w:bookmarkStart w:id="2" w:name="_GoBack"/>
      <w:bookmarkEnd w:id="2"/>
    </w:p>
    <w:sectPr w:rsidR="009872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BB"/>
    <w:rsid w:val="0098728C"/>
    <w:rsid w:val="00E873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6435</Words>
  <Characters>3668</Characters>
  <Application>Microsoft Office Word</Application>
  <DocSecurity>0</DocSecurity>
  <Lines>30</Lines>
  <Paragraphs>20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2018-02-01T10:36:00Z</dcterms:created>
  <dcterms:modified xsi:type="dcterms:W3CDTF">2018-02-01T10:36:00Z</dcterms:modified>
</cp:coreProperties>
</file>