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A5" w:rsidRDefault="007552A5" w:rsidP="007552A5">
      <w:pPr>
        <w:spacing w:before="130" w:line="260" w:lineRule="exact"/>
        <w:ind w:firstLine="539"/>
        <w:jc w:val="right"/>
        <w:rPr>
          <w:rFonts w:ascii="Cambria" w:hAnsi="Cambria"/>
          <w:iCs/>
          <w:sz w:val="19"/>
        </w:rPr>
      </w:pPr>
      <w:r w:rsidRPr="00AD531B">
        <w:rPr>
          <w:rFonts w:ascii="Cambria" w:hAnsi="Cambria"/>
          <w:iCs/>
          <w:sz w:val="19"/>
        </w:rPr>
        <w:t>14. pielikums</w:t>
      </w:r>
      <w:r>
        <w:rPr>
          <w:rFonts w:ascii="Cambria" w:hAnsi="Cambria"/>
          <w:iCs/>
          <w:sz w:val="19"/>
        </w:rPr>
        <w:br/>
      </w:r>
      <w:r w:rsidRPr="00AD531B">
        <w:rPr>
          <w:rFonts w:ascii="Cambria" w:hAnsi="Cambria"/>
          <w:iCs/>
          <w:sz w:val="19"/>
        </w:rPr>
        <w:t>Ministru kabineta</w:t>
      </w:r>
      <w:r>
        <w:rPr>
          <w:rFonts w:ascii="Cambria" w:hAnsi="Cambria"/>
          <w:iCs/>
          <w:sz w:val="19"/>
        </w:rPr>
        <w:br/>
      </w:r>
      <w:r w:rsidRPr="00AD531B">
        <w:rPr>
          <w:rFonts w:ascii="Cambria" w:hAnsi="Cambria"/>
          <w:iCs/>
          <w:sz w:val="19"/>
        </w:rPr>
        <w:t xml:space="preserve">2008. gada 15. septembra </w:t>
      </w:r>
      <w:r>
        <w:rPr>
          <w:rFonts w:ascii="Cambria" w:hAnsi="Cambria"/>
          <w:iCs/>
          <w:sz w:val="19"/>
        </w:rPr>
        <w:br/>
      </w:r>
      <w:r w:rsidRPr="00AD531B">
        <w:rPr>
          <w:rFonts w:ascii="Cambria" w:hAnsi="Cambria"/>
          <w:iCs/>
          <w:sz w:val="19"/>
        </w:rPr>
        <w:t>noteikumiem Nr. 746</w:t>
      </w:r>
    </w:p>
    <w:p w:rsidR="007552A5" w:rsidRDefault="007552A5" w:rsidP="007552A5">
      <w:pPr>
        <w:rPr>
          <w:i/>
          <w:sz w:val="20"/>
          <w:szCs w:val="20"/>
        </w:rPr>
      </w:pPr>
      <w:r w:rsidRPr="003361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Pielikums MK 12.06.2018</w:t>
      </w:r>
      <w:r w:rsidRPr="00336154">
        <w:rPr>
          <w:i/>
          <w:sz w:val="20"/>
          <w:szCs w:val="20"/>
        </w:rPr>
        <w:t xml:space="preserve">. noteikumu Nr. </w:t>
      </w:r>
      <w:r>
        <w:rPr>
          <w:i/>
          <w:sz w:val="20"/>
          <w:szCs w:val="20"/>
        </w:rPr>
        <w:t>327 redakcijā)</w:t>
      </w:r>
    </w:p>
    <w:p w:rsidR="007552A5" w:rsidRPr="007552A5" w:rsidRDefault="007552A5" w:rsidP="007552A5">
      <w:pPr>
        <w:rPr>
          <w:i/>
          <w:sz w:val="20"/>
          <w:szCs w:val="20"/>
        </w:rPr>
      </w:pPr>
    </w:p>
    <w:p w:rsidR="007552A5" w:rsidRPr="00AD531B" w:rsidRDefault="007552A5" w:rsidP="007552A5">
      <w:pPr>
        <w:spacing w:before="130" w:line="260" w:lineRule="exact"/>
        <w:jc w:val="center"/>
        <w:rPr>
          <w:rFonts w:ascii="Cambria" w:hAnsi="Cambria"/>
          <w:b/>
          <w:iCs/>
          <w:sz w:val="19"/>
        </w:rPr>
      </w:pPr>
      <w:bookmarkStart w:id="0" w:name="_GoBack"/>
      <w:bookmarkEnd w:id="0"/>
      <w:r w:rsidRPr="00AD531B">
        <w:rPr>
          <w:rFonts w:ascii="Cambria" w:hAnsi="Cambria"/>
          <w:b/>
          <w:iCs/>
          <w:sz w:val="19"/>
        </w:rPr>
        <w:t>C hepatīta pacienta karte</w:t>
      </w:r>
    </w:p>
    <w:p w:rsidR="007552A5" w:rsidRPr="00AD531B" w:rsidRDefault="007552A5" w:rsidP="007552A5">
      <w:pPr>
        <w:spacing w:before="130" w:line="260" w:lineRule="exact"/>
        <w:ind w:firstLine="539"/>
        <w:jc w:val="center"/>
        <w:rPr>
          <w:rFonts w:ascii="Cambria" w:hAnsi="Cambria"/>
          <w:iCs/>
          <w:sz w:val="19"/>
          <w:szCs w:val="24"/>
        </w:rPr>
      </w:pPr>
    </w:p>
    <w:p w:rsidR="007552A5" w:rsidRPr="007552A5" w:rsidRDefault="007552A5" w:rsidP="007552A5">
      <w:pPr>
        <w:spacing w:before="130" w:line="260" w:lineRule="exact"/>
        <w:ind w:firstLine="539"/>
        <w:rPr>
          <w:rFonts w:ascii="Cambria" w:hAnsi="Cambria"/>
          <w:bCs/>
          <w:iCs/>
          <w:sz w:val="19"/>
          <w:szCs w:val="24"/>
        </w:rPr>
      </w:pPr>
      <w:r w:rsidRPr="00AD531B">
        <w:rPr>
          <w:rFonts w:ascii="Cambria" w:hAnsi="Cambria"/>
          <w:bCs/>
          <w:iCs/>
          <w:sz w:val="19"/>
          <w:szCs w:val="24"/>
        </w:rPr>
        <w:t xml:space="preserve">Reģistru regulāri papildina, ievadot datus par pacientiem, kuriem diagnosticēts C hepatīts, </w:t>
      </w:r>
      <w:r w:rsidRPr="00AD531B">
        <w:rPr>
          <w:rFonts w:ascii="Cambria" w:hAnsi="Cambria"/>
          <w:iCs/>
          <w:sz w:val="19"/>
          <w:szCs w:val="24"/>
        </w:rPr>
        <w:t xml:space="preserve">– </w:t>
      </w:r>
      <w:r w:rsidRPr="00AD531B">
        <w:rPr>
          <w:rFonts w:ascii="Cambria" w:hAnsi="Cambria"/>
          <w:bCs/>
          <w:iCs/>
          <w:sz w:val="19"/>
          <w:szCs w:val="24"/>
        </w:rPr>
        <w:t xml:space="preserve">pēc </w:t>
      </w:r>
      <w:proofErr w:type="spellStart"/>
      <w:r w:rsidRPr="00AD531B">
        <w:rPr>
          <w:rFonts w:ascii="Cambria" w:hAnsi="Cambria"/>
          <w:bCs/>
          <w:iCs/>
          <w:sz w:val="19"/>
          <w:szCs w:val="24"/>
        </w:rPr>
        <w:t>pamatdiagnozes</w:t>
      </w:r>
      <w:proofErr w:type="spellEnd"/>
      <w:r w:rsidRPr="00AD531B">
        <w:rPr>
          <w:rFonts w:ascii="Cambria" w:hAnsi="Cambria"/>
          <w:bCs/>
          <w:iCs/>
          <w:sz w:val="19"/>
          <w:szCs w:val="24"/>
        </w:rPr>
        <w:t xml:space="preserve"> noteikšanas, katru reizi pēc konsīlija slēdziena, pēc uzsākta ārstēšanas kursa, ja ārstēšanas kurss ir pabeigts vai pārtraukts, </w:t>
      </w:r>
      <w:r w:rsidRPr="00AD531B">
        <w:rPr>
          <w:rFonts w:ascii="Cambria" w:hAnsi="Cambria"/>
          <w:sz w:val="19"/>
          <w:szCs w:val="24"/>
        </w:rPr>
        <w:t>izvērtējot terapijas efektivitāti, sešus mēnešus pēc ārstēšanas pabeigšanas</w:t>
      </w:r>
      <w:r w:rsidRPr="00AD531B">
        <w:rPr>
          <w:rFonts w:ascii="Cambria" w:hAnsi="Cambria"/>
          <w:bCs/>
          <w:iCs/>
          <w:sz w:val="19"/>
          <w:szCs w:val="24"/>
        </w:rPr>
        <w:t xml:space="preserve"> vai citos būtiskos ārstēšanas pr</w:t>
      </w:r>
      <w:r>
        <w:rPr>
          <w:rFonts w:ascii="Cambria" w:hAnsi="Cambria"/>
          <w:bCs/>
          <w:iCs/>
          <w:sz w:val="19"/>
          <w:szCs w:val="24"/>
        </w:rPr>
        <w:t>ocesa aktualizācijas gadījumos.</w:t>
      </w:r>
    </w:p>
    <w:p w:rsidR="007552A5" w:rsidRPr="00AD531B" w:rsidRDefault="007552A5" w:rsidP="007552A5">
      <w:pPr>
        <w:spacing w:before="130" w:line="260" w:lineRule="exact"/>
        <w:jc w:val="center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I. Pacienta dati</w:t>
      </w:r>
    </w:p>
    <w:p w:rsidR="007552A5" w:rsidRPr="00AD531B" w:rsidRDefault="007552A5" w:rsidP="007552A5">
      <w:pPr>
        <w:spacing w:before="130" w:line="260" w:lineRule="exact"/>
        <w:ind w:firstLine="539"/>
        <w:jc w:val="center"/>
        <w:rPr>
          <w:rFonts w:ascii="Cambria" w:hAnsi="Cambria"/>
          <w:iCs/>
          <w:sz w:val="19"/>
          <w:szCs w:val="16"/>
        </w:rPr>
      </w:pPr>
    </w:p>
    <w:p w:rsidR="007552A5" w:rsidRPr="00AD531B" w:rsidRDefault="007552A5" w:rsidP="007552A5">
      <w:pPr>
        <w:tabs>
          <w:tab w:val="right" w:pos="9498"/>
        </w:tabs>
        <w:spacing w:before="130" w:line="260" w:lineRule="exac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1. Ārstniecības iestāde</w:t>
      </w:r>
      <w:r w:rsidRPr="00AD531B">
        <w:rPr>
          <w:rFonts w:ascii="Cambria" w:hAnsi="Cambria"/>
          <w:iCs/>
          <w:sz w:val="19"/>
          <w:szCs w:val="24"/>
        </w:rPr>
        <w:t xml:space="preserve"> </w:t>
      </w:r>
      <w:r w:rsidRPr="00AD531B">
        <w:rPr>
          <w:rFonts w:ascii="Cambria" w:hAnsi="Cambria"/>
          <w:iCs/>
          <w:sz w:val="19"/>
          <w:szCs w:val="24"/>
          <w:u w:val="single"/>
        </w:rPr>
        <w:tab/>
        <w:t xml:space="preserve"> </w:t>
      </w:r>
      <w:r w:rsidRPr="00AD531B">
        <w:rPr>
          <w:rFonts w:ascii="Cambria" w:hAnsi="Cambria"/>
          <w:iCs/>
          <w:sz w:val="19"/>
          <w:szCs w:val="24"/>
        </w:rPr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-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5954"/>
          <w:tab w:val="right" w:pos="9071"/>
        </w:tabs>
        <w:spacing w:line="260" w:lineRule="exact"/>
        <w:jc w:val="left"/>
        <w:rPr>
          <w:rFonts w:ascii="Cambria" w:hAnsi="Cambria"/>
          <w:iCs/>
          <w:sz w:val="17"/>
          <w:szCs w:val="17"/>
        </w:rPr>
      </w:pPr>
      <w:r>
        <w:rPr>
          <w:rFonts w:ascii="Cambria" w:hAnsi="Cambria"/>
          <w:iCs/>
          <w:sz w:val="17"/>
          <w:szCs w:val="17"/>
        </w:rPr>
        <w:t xml:space="preserve">                                                             </w:t>
      </w:r>
      <w:r w:rsidRPr="00AD531B">
        <w:rPr>
          <w:rFonts w:ascii="Cambria" w:hAnsi="Cambria"/>
          <w:iCs/>
          <w:sz w:val="17"/>
          <w:szCs w:val="17"/>
        </w:rPr>
        <w:t>(nosaukums un kods Ārstniecības iestāžu reģistrā)</w:t>
      </w:r>
    </w:p>
    <w:p w:rsidR="007552A5" w:rsidRPr="00AD531B" w:rsidRDefault="007552A5" w:rsidP="007552A5">
      <w:pPr>
        <w:tabs>
          <w:tab w:val="right" w:pos="9498"/>
        </w:tabs>
        <w:spacing w:before="130" w:line="260" w:lineRule="exac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2. Pacienta personas kods</w:t>
      </w:r>
      <w:r w:rsidRPr="00AD531B">
        <w:rPr>
          <w:rFonts w:ascii="Cambria" w:hAnsi="Cambria"/>
          <w:iCs/>
          <w:sz w:val="19"/>
          <w:szCs w:val="24"/>
        </w:rPr>
        <w:t xml:space="preserve"> </w:t>
      </w:r>
      <w:r w:rsidRPr="00AD531B">
        <w:rPr>
          <w:rFonts w:ascii="Cambria" w:hAnsi="Cambria"/>
          <w:iCs/>
          <w:sz w:val="19"/>
          <w:szCs w:val="24"/>
        </w:rPr>
        <w:tab/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-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4536"/>
          <w:tab w:val="right" w:pos="9498"/>
        </w:tabs>
        <w:spacing w:before="130" w:line="260" w:lineRule="exact"/>
        <w:rPr>
          <w:rFonts w:ascii="Cambria" w:hAnsi="Cambria"/>
          <w:iCs/>
          <w:sz w:val="19"/>
          <w:szCs w:val="24"/>
          <w:u w:val="single"/>
        </w:rPr>
      </w:pPr>
      <w:r w:rsidRPr="00AD531B">
        <w:rPr>
          <w:rFonts w:ascii="Cambria" w:hAnsi="Cambria"/>
          <w:b/>
          <w:iCs/>
          <w:sz w:val="19"/>
          <w:szCs w:val="24"/>
        </w:rPr>
        <w:t>3. Pacienta vārds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endnoteReference w:id="1"/>
      </w:r>
      <w:r w:rsidRPr="00AD531B">
        <w:rPr>
          <w:rFonts w:ascii="Cambria" w:hAnsi="Cambria"/>
          <w:iCs/>
          <w:sz w:val="19"/>
          <w:szCs w:val="24"/>
        </w:rPr>
        <w:t xml:space="preserve"> </w:t>
      </w:r>
      <w:r w:rsidRPr="00AD531B">
        <w:rPr>
          <w:rFonts w:ascii="Cambria" w:hAnsi="Cambria"/>
          <w:iCs/>
          <w:sz w:val="19"/>
          <w:szCs w:val="24"/>
          <w:u w:val="single"/>
        </w:rPr>
        <w:tab/>
      </w:r>
      <w:r w:rsidRPr="00AD531B">
        <w:rPr>
          <w:rFonts w:ascii="Cambria" w:hAnsi="Cambria"/>
          <w:iCs/>
          <w:sz w:val="19"/>
          <w:szCs w:val="24"/>
        </w:rPr>
        <w:t xml:space="preserve"> </w:t>
      </w:r>
      <w:r w:rsidRPr="00AD531B">
        <w:rPr>
          <w:rFonts w:ascii="Cambria" w:hAnsi="Cambria"/>
          <w:b/>
          <w:iCs/>
          <w:sz w:val="19"/>
          <w:szCs w:val="24"/>
        </w:rPr>
        <w:t>4. Pacienta uzvārds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t>1</w:t>
      </w:r>
      <w:r w:rsidRPr="00AD531B">
        <w:rPr>
          <w:rFonts w:ascii="Cambria" w:hAnsi="Cambria"/>
          <w:iCs/>
          <w:sz w:val="19"/>
          <w:szCs w:val="24"/>
          <w:u w:val="single"/>
        </w:rPr>
        <w:tab/>
      </w:r>
    </w:p>
    <w:p w:rsidR="007552A5" w:rsidRPr="00AD531B" w:rsidRDefault="007552A5" w:rsidP="007552A5">
      <w:pPr>
        <w:tabs>
          <w:tab w:val="left" w:pos="4395"/>
          <w:tab w:val="left" w:pos="8080"/>
          <w:tab w:val="right" w:pos="9071"/>
        </w:tabs>
        <w:spacing w:before="130" w:line="260" w:lineRule="exac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5. Pacienta dzimums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t>1</w:t>
      </w:r>
      <w:r w:rsidRPr="00AD531B">
        <w:rPr>
          <w:rFonts w:ascii="Cambria" w:hAnsi="Cambria"/>
          <w:iCs/>
          <w:sz w:val="19"/>
          <w:szCs w:val="24"/>
        </w:rPr>
        <w:t xml:space="preserve"> (1 – vīr.; 2 – siev.)</w:t>
      </w:r>
      <w:r w:rsidRPr="00AD531B">
        <w:rPr>
          <w:rFonts w:ascii="Cambria" w:hAnsi="Cambria"/>
          <w:iCs/>
          <w:sz w:val="19"/>
          <w:szCs w:val="24"/>
        </w:rPr>
        <w:tab/>
        <w:t xml:space="preserve"> </w:t>
      </w:r>
    </w:p>
    <w:p w:rsidR="007552A5" w:rsidRPr="00AD531B" w:rsidRDefault="007552A5" w:rsidP="007552A5">
      <w:pPr>
        <w:tabs>
          <w:tab w:val="right" w:pos="9498"/>
        </w:tabs>
        <w:spacing w:before="130" w:line="260" w:lineRule="exac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6. Deklarētā dzīvesvieta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t>1</w:t>
      </w:r>
      <w:r w:rsidRPr="00AD531B">
        <w:rPr>
          <w:rFonts w:ascii="Cambria" w:hAnsi="Cambria"/>
          <w:b/>
          <w:iCs/>
          <w:sz w:val="19"/>
          <w:szCs w:val="24"/>
        </w:rPr>
        <w:t xml:space="preserve"> </w:t>
      </w:r>
      <w:r w:rsidRPr="00AD531B">
        <w:rPr>
          <w:rFonts w:ascii="Cambria" w:hAnsi="Cambria"/>
          <w:iCs/>
          <w:sz w:val="19"/>
          <w:szCs w:val="24"/>
          <w:u w:val="single"/>
        </w:rPr>
        <w:tab/>
      </w:r>
    </w:p>
    <w:p w:rsidR="007552A5" w:rsidRPr="00AD531B" w:rsidRDefault="007552A5" w:rsidP="007552A5">
      <w:pPr>
        <w:tabs>
          <w:tab w:val="right" w:pos="9071"/>
        </w:tabs>
        <w:spacing w:line="260" w:lineRule="exact"/>
        <w:jc w:val="center"/>
        <w:rPr>
          <w:rFonts w:ascii="Cambria" w:hAnsi="Cambria"/>
          <w:iCs/>
          <w:sz w:val="17"/>
          <w:szCs w:val="17"/>
        </w:rPr>
      </w:pPr>
      <w:r>
        <w:rPr>
          <w:rFonts w:ascii="Cambria" w:hAnsi="Cambria"/>
          <w:iCs/>
          <w:sz w:val="17"/>
          <w:szCs w:val="17"/>
        </w:rPr>
        <w:t xml:space="preserve">                                                </w:t>
      </w:r>
      <w:r w:rsidRPr="00AD531B">
        <w:rPr>
          <w:rFonts w:ascii="Cambria" w:hAnsi="Cambria"/>
          <w:iCs/>
          <w:sz w:val="17"/>
          <w:szCs w:val="17"/>
        </w:rPr>
        <w:t>(iela, māja, ciems, pagasts, novads, pilsēta, valsts, pasta indekss)</w:t>
      </w:r>
    </w:p>
    <w:p w:rsidR="007552A5" w:rsidRPr="00AD531B" w:rsidRDefault="007552A5" w:rsidP="007552A5">
      <w:pPr>
        <w:tabs>
          <w:tab w:val="right" w:pos="9071"/>
        </w:tabs>
        <w:spacing w:line="260" w:lineRule="exact"/>
        <w:jc w:val="center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0"/>
        </w:rPr>
      </w:pPr>
      <w:r w:rsidRPr="00AD531B">
        <w:rPr>
          <w:rFonts w:ascii="Cambria" w:hAnsi="Cambria"/>
          <w:b/>
          <w:iCs/>
          <w:sz w:val="19"/>
          <w:szCs w:val="24"/>
        </w:rPr>
        <w:t>7.</w:t>
      </w:r>
      <w:r w:rsidRPr="00AD531B">
        <w:rPr>
          <w:rFonts w:ascii="Cambria" w:hAnsi="Cambria"/>
          <w:iCs/>
          <w:sz w:val="19"/>
          <w:szCs w:val="20"/>
        </w:rPr>
        <w:t xml:space="preserve"> </w:t>
      </w:r>
      <w:r w:rsidRPr="00AD531B">
        <w:rPr>
          <w:rFonts w:ascii="Cambria" w:hAnsi="Cambria"/>
          <w:b/>
          <w:iCs/>
          <w:sz w:val="19"/>
          <w:szCs w:val="24"/>
        </w:rPr>
        <w:t>Deklarētās dzīvesvietas administratīvi teritoriālās vienības kods</w:t>
      </w:r>
      <w:r w:rsidRPr="00AD531B">
        <w:rPr>
          <w:rFonts w:ascii="Cambria" w:hAnsi="Cambria"/>
          <w:b/>
          <w:iCs/>
          <w:sz w:val="19"/>
          <w:szCs w:val="24"/>
          <w:vertAlign w:val="superscript"/>
        </w:rPr>
        <w:t xml:space="preserve">1 </w:t>
      </w:r>
      <w:r>
        <w:rPr>
          <w:rFonts w:ascii="Cambria" w:hAnsi="Cambria"/>
          <w:b/>
          <w:iCs/>
          <w:sz w:val="19"/>
          <w:szCs w:val="24"/>
          <w:vertAlign w:val="superscript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b/>
          <w:iCs/>
          <w:sz w:val="19"/>
          <w:szCs w:val="24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8. Riska faktori, kas ietekmē ārstēšanas gaitu</w:t>
      </w:r>
      <w:r w:rsidRPr="00AD531B">
        <w:rPr>
          <w:rFonts w:ascii="Cambria" w:hAnsi="Cambria"/>
          <w:iCs/>
          <w:sz w:val="19"/>
          <w:szCs w:val="24"/>
        </w:rPr>
        <w:t xml:space="preserve"> 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</w:t>
      </w:r>
      <w:r w:rsidRPr="00AD531B">
        <w:rPr>
          <w:rFonts w:ascii="Cambria" w:hAnsi="Cambria"/>
          <w:iCs/>
          <w:sz w:val="19"/>
          <w:szCs w:val="24"/>
        </w:rPr>
        <w:t>(1 – ir pašlaik; 2 – ir anamnēzē; 3 – nav; 9 – nav zināms)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8.1. narkotisko un psihotropo vielu lietošana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8.2. pārmērīga alkohola lietošana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8.3. saņem narkotisko vielu aizvietojošo terapiju</w:t>
      </w:r>
      <w:r w:rsidRPr="00AD531B">
        <w:rPr>
          <w:rFonts w:ascii="Cambria" w:hAnsi="Cambria"/>
          <w:iCs/>
          <w:sz w:val="19"/>
          <w:szCs w:val="24"/>
        </w:rPr>
        <w:tab/>
      </w:r>
      <w:bookmarkStart w:id="1" w:name="_Hlk510087312"/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bookmarkEnd w:id="1"/>
    <w:p w:rsidR="007552A5" w:rsidRPr="00AD531B" w:rsidRDefault="007552A5" w:rsidP="007552A5">
      <w:pPr>
        <w:spacing w:line="260" w:lineRule="atLeast"/>
        <w:jc w:val="left"/>
        <w:rPr>
          <w:rFonts w:ascii="Cambria" w:hAnsi="Cambria"/>
          <w:iCs/>
          <w:sz w:val="19"/>
          <w:szCs w:val="16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jc w:val="center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 xml:space="preserve">II. Diagnostika </w:t>
      </w: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9. Valsts infekcijas slimību uzraudzības un monitoringa sistēmā reģistrēts gadījums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endnoteReference w:id="2"/>
      </w:r>
      <w:r w:rsidRPr="00AD531B">
        <w:rPr>
          <w:rFonts w:ascii="Cambria" w:hAnsi="Cambria"/>
          <w:b/>
          <w:iCs/>
          <w:sz w:val="19"/>
          <w:szCs w:val="24"/>
        </w:rPr>
        <w:t>: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9.1. C hepatīta diagnoze (kods atbilstoši SSK-10)</w:t>
      </w:r>
      <w:r w:rsidRPr="00AD531B">
        <w:rPr>
          <w:rStyle w:val="EndnoteReference"/>
          <w:rFonts w:ascii="Cambria" w:hAnsi="Cambria"/>
          <w:iCs/>
          <w:sz w:val="19"/>
          <w:szCs w:val="24"/>
        </w:rPr>
        <w:endnoteReference w:id="3"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9.2. reģistrēšanas datums (</w:t>
      </w:r>
      <w:proofErr w:type="spellStart"/>
      <w:r w:rsidRPr="00AD531B">
        <w:rPr>
          <w:rFonts w:ascii="Cambria" w:hAnsi="Cambria"/>
          <w:iCs/>
          <w:sz w:val="19"/>
          <w:szCs w:val="24"/>
        </w:rPr>
        <w:t>dd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 mm. </w:t>
      </w:r>
      <w:proofErr w:type="spellStart"/>
      <w:r w:rsidRPr="00AD531B">
        <w:rPr>
          <w:rFonts w:ascii="Cambria" w:hAnsi="Cambria"/>
          <w:iCs/>
          <w:sz w:val="19"/>
          <w:szCs w:val="24"/>
        </w:rPr>
        <w:t>gggg</w:t>
      </w:r>
      <w:proofErr w:type="spellEnd"/>
      <w:r w:rsidRPr="00AD531B">
        <w:rPr>
          <w:rFonts w:ascii="Cambria" w:hAnsi="Cambria"/>
          <w:iCs/>
          <w:sz w:val="19"/>
          <w:szCs w:val="24"/>
        </w:rPr>
        <w:t>.)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10. C hepatīta noteikšanas gads</w:t>
      </w:r>
      <w:r w:rsidRPr="00AD531B">
        <w:rPr>
          <w:rFonts w:ascii="Cambria" w:hAnsi="Cambria"/>
          <w:b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11. C hepatīta infekcija apstiprināta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11.1. HCV RNS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11.2. HCV </w:t>
      </w:r>
      <w:proofErr w:type="spellStart"/>
      <w:r w:rsidRPr="00AD531B">
        <w:rPr>
          <w:rFonts w:ascii="Cambria" w:hAnsi="Cambria"/>
          <w:i/>
          <w:iCs/>
          <w:sz w:val="19"/>
          <w:szCs w:val="24"/>
        </w:rPr>
        <w:t>cor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 </w:t>
      </w:r>
      <w:proofErr w:type="spellStart"/>
      <w:r w:rsidRPr="00AD531B">
        <w:rPr>
          <w:rFonts w:ascii="Cambria" w:hAnsi="Cambria"/>
          <w:iCs/>
          <w:sz w:val="19"/>
          <w:szCs w:val="24"/>
        </w:rPr>
        <w:t>Ag</w:t>
      </w:r>
      <w:proofErr w:type="spellEnd"/>
      <w:r w:rsidRPr="00AD531B">
        <w:rPr>
          <w:rFonts w:ascii="Cambria" w:hAnsi="Cambria"/>
          <w:b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 xml:space="preserve">12. </w:t>
      </w:r>
      <w:proofErr w:type="spellStart"/>
      <w:r w:rsidRPr="00AD531B">
        <w:rPr>
          <w:rFonts w:ascii="Cambria" w:hAnsi="Cambria"/>
          <w:b/>
          <w:iCs/>
          <w:sz w:val="19"/>
          <w:szCs w:val="24"/>
        </w:rPr>
        <w:t>Pamatdiagnozes</w:t>
      </w:r>
      <w:proofErr w:type="spellEnd"/>
      <w:r w:rsidRPr="00AD531B">
        <w:rPr>
          <w:rFonts w:ascii="Cambria" w:hAnsi="Cambria"/>
          <w:b/>
          <w:iCs/>
          <w:sz w:val="19"/>
          <w:szCs w:val="24"/>
        </w:rPr>
        <w:t xml:space="preserve"> kods pirms ārstēšanas</w:t>
      </w:r>
      <w:r w:rsidRPr="00AD531B">
        <w:rPr>
          <w:rFonts w:ascii="Cambria" w:hAnsi="Cambria"/>
          <w:iCs/>
          <w:sz w:val="19"/>
          <w:szCs w:val="24"/>
        </w:rPr>
        <w:t xml:space="preserve"> (kods atbilstoši SSK-10)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b/>
          <w:iCs/>
          <w:sz w:val="19"/>
          <w:szCs w:val="24"/>
          <w:u w:val="dotted"/>
        </w:rPr>
      </w:pPr>
      <w:r w:rsidRPr="00AD531B">
        <w:rPr>
          <w:rFonts w:ascii="Cambria" w:hAnsi="Cambria"/>
          <w:b/>
          <w:iCs/>
          <w:sz w:val="19"/>
          <w:szCs w:val="24"/>
        </w:rPr>
        <w:lastRenderedPageBreak/>
        <w:t>13. Fibrozes stadijas noteikšanas gads</w:t>
      </w:r>
      <w:r w:rsidRPr="00AD531B">
        <w:rPr>
          <w:rFonts w:ascii="Cambria" w:hAnsi="Cambria"/>
          <w:b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13.1.</w:t>
      </w:r>
      <w:r w:rsidRPr="00AD531B">
        <w:rPr>
          <w:rFonts w:ascii="Cambria" w:hAnsi="Cambria"/>
          <w:b/>
          <w:iCs/>
          <w:sz w:val="19"/>
          <w:szCs w:val="24"/>
        </w:rPr>
        <w:t> </w:t>
      </w:r>
      <w:r w:rsidRPr="00AD531B">
        <w:rPr>
          <w:rFonts w:ascii="Cambria" w:hAnsi="Cambria"/>
          <w:iCs/>
          <w:sz w:val="19"/>
          <w:szCs w:val="24"/>
        </w:rPr>
        <w:t>fibrozes stadija, uzsākot ārstēšanu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endnoteReference w:id="4"/>
      </w:r>
      <w:r w:rsidRPr="00AD531B">
        <w:rPr>
          <w:rFonts w:ascii="Cambria" w:hAnsi="Cambria"/>
          <w:iCs/>
          <w:sz w:val="19"/>
          <w:szCs w:val="24"/>
        </w:rPr>
        <w:t xml:space="preserve"> (F0 – nav konstatēta; F1 – </w:t>
      </w:r>
      <w:proofErr w:type="spellStart"/>
      <w:r w:rsidRPr="00AD531B">
        <w:rPr>
          <w:rFonts w:ascii="Cambria" w:hAnsi="Cambria"/>
          <w:iCs/>
          <w:sz w:val="19"/>
          <w:szCs w:val="24"/>
        </w:rPr>
        <w:t>fibrozēti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, paplašināti </w:t>
      </w:r>
      <w:proofErr w:type="spellStart"/>
      <w:r w:rsidRPr="00AD531B">
        <w:rPr>
          <w:rFonts w:ascii="Cambria" w:hAnsi="Cambria"/>
          <w:iCs/>
          <w:sz w:val="19"/>
          <w:szCs w:val="24"/>
        </w:rPr>
        <w:t>portālie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 lauki; F2 – </w:t>
      </w:r>
      <w:proofErr w:type="spellStart"/>
      <w:r w:rsidRPr="00AD531B">
        <w:rPr>
          <w:rFonts w:ascii="Cambria" w:hAnsi="Cambria"/>
          <w:iCs/>
          <w:sz w:val="19"/>
          <w:szCs w:val="24"/>
        </w:rPr>
        <w:t>periportālas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 </w:t>
      </w:r>
      <w:proofErr w:type="spellStart"/>
      <w:r w:rsidRPr="00AD531B">
        <w:rPr>
          <w:rFonts w:ascii="Cambria" w:hAnsi="Cambria"/>
          <w:iCs/>
          <w:sz w:val="19"/>
          <w:szCs w:val="24"/>
        </w:rPr>
        <w:t>septas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; F3 – </w:t>
      </w:r>
      <w:proofErr w:type="spellStart"/>
      <w:r w:rsidRPr="00AD531B">
        <w:rPr>
          <w:rFonts w:ascii="Cambria" w:hAnsi="Cambria"/>
          <w:iCs/>
          <w:sz w:val="19"/>
          <w:szCs w:val="24"/>
        </w:rPr>
        <w:t>tiltveida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 fibroze, F4 – ciroze) </w:t>
      </w:r>
      <w:r w:rsidRPr="00AD531B">
        <w:rPr>
          <w:rFonts w:ascii="Cambria" w:hAnsi="Cambria"/>
          <w:iCs/>
          <w:sz w:val="19"/>
          <w:szCs w:val="24"/>
        </w:rPr>
        <w:tab/>
        <w:t>F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8505"/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13.2. fibrozes stadijas noteikšanas metode:</w:t>
      </w:r>
    </w:p>
    <w:p w:rsidR="007552A5" w:rsidRPr="00AD531B" w:rsidRDefault="007552A5" w:rsidP="007552A5">
      <w:pPr>
        <w:tabs>
          <w:tab w:val="left" w:pos="8505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13.2.1. histoloģija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8505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  <w:u w:val="dotted"/>
        </w:rPr>
      </w:pPr>
      <w:r w:rsidRPr="00AD531B">
        <w:rPr>
          <w:rFonts w:ascii="Cambria" w:hAnsi="Cambria"/>
          <w:iCs/>
          <w:sz w:val="19"/>
          <w:szCs w:val="24"/>
        </w:rPr>
        <w:t xml:space="preserve">13.2.2. </w:t>
      </w:r>
      <w:proofErr w:type="spellStart"/>
      <w:r w:rsidRPr="00AD531B">
        <w:rPr>
          <w:rFonts w:ascii="Cambria" w:hAnsi="Cambria"/>
          <w:iCs/>
          <w:sz w:val="19"/>
          <w:szCs w:val="24"/>
        </w:rPr>
        <w:t>elastogrāfija</w:t>
      </w:r>
      <w:proofErr w:type="spellEnd"/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13.2.3. aknu ciroze pierādīta ar citu metodi (norādīt) </w:t>
      </w:r>
      <w:r w:rsidRPr="00AD531B">
        <w:rPr>
          <w:rFonts w:ascii="Cambria" w:hAnsi="Cambria"/>
          <w:iCs/>
          <w:sz w:val="19"/>
          <w:szCs w:val="24"/>
          <w:u w:val="single"/>
        </w:rPr>
        <w:tab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 xml:space="preserve">14. HCV genotips </w:t>
      </w:r>
      <w:r w:rsidRPr="00AD531B">
        <w:rPr>
          <w:rFonts w:ascii="Cambria" w:hAnsi="Cambria"/>
          <w:iCs/>
          <w:sz w:val="19"/>
          <w:szCs w:val="24"/>
        </w:rPr>
        <w:t>(1; 1A; 1B; 2; 3; 4; 5; 6; 7 – kombinēts; 9 – nav noteikts)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6946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14.1. ja kombinēts, norādīt tipus (1; 1A; 1B; 2; 3; 4; 5; 6) 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;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;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14.2. HCV genotipa noteikšanas gads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15. Līdz 2015. gada 31. decembrim saņemtās neefektīvās ārstēšanas kursā izmantotie medikamenti/</w:t>
      </w:r>
      <w:r>
        <w:rPr>
          <w:rFonts w:ascii="Cambria" w:hAnsi="Cambria"/>
          <w:b/>
          <w:iCs/>
          <w:sz w:val="19"/>
          <w:szCs w:val="24"/>
        </w:rPr>
        <w:t xml:space="preserve"> </w:t>
      </w:r>
      <w:r w:rsidRPr="00AD531B">
        <w:rPr>
          <w:rFonts w:ascii="Cambria" w:hAnsi="Cambria"/>
          <w:b/>
          <w:iCs/>
          <w:sz w:val="19"/>
          <w:szCs w:val="24"/>
        </w:rPr>
        <w:t>ārstēšanas shēmas kods</w:t>
      </w:r>
      <w:r w:rsidRPr="00AD531B">
        <w:rPr>
          <w:rStyle w:val="EndnoteReference"/>
          <w:rFonts w:ascii="Cambria" w:hAnsi="Cambria"/>
          <w:iCs/>
          <w:sz w:val="19"/>
          <w:szCs w:val="24"/>
        </w:rPr>
        <w:endnoteReference w:id="5"/>
      </w:r>
      <w:r w:rsidRPr="00AD531B">
        <w:rPr>
          <w:rFonts w:ascii="Cambria" w:hAnsi="Cambria"/>
          <w:iCs/>
          <w:sz w:val="19"/>
          <w:szCs w:val="24"/>
          <w:vertAlign w:val="superscript"/>
        </w:rPr>
        <w:t xml:space="preserve"> </w:t>
      </w:r>
      <w:r w:rsidRPr="00AD531B">
        <w:rPr>
          <w:rFonts w:ascii="Cambria" w:hAnsi="Cambria"/>
          <w:iCs/>
          <w:sz w:val="19"/>
          <w:szCs w:val="24"/>
        </w:rPr>
        <w:t xml:space="preserve">(ja ir anamnēzē) </w:t>
      </w:r>
      <w:r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iCs/>
          <w:sz w:val="19"/>
          <w:szCs w:val="24"/>
          <w:u w:val="single"/>
        </w:rPr>
      </w:pPr>
      <w:r w:rsidRPr="00AD531B">
        <w:rPr>
          <w:rFonts w:ascii="Cambria" w:hAnsi="Cambria"/>
          <w:iCs/>
          <w:sz w:val="19"/>
          <w:szCs w:val="24"/>
        </w:rPr>
        <w:t xml:space="preserve">Cits (norādīt) </w:t>
      </w:r>
      <w:r>
        <w:rPr>
          <w:rFonts w:ascii="Cambria" w:hAnsi="Cambria"/>
          <w:iCs/>
          <w:sz w:val="19"/>
          <w:szCs w:val="24"/>
        </w:rPr>
        <w:tab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jc w:val="center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III. Ārstēšana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16. Ārstu konsīlijs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16.1. konsīlija datums (</w:t>
      </w:r>
      <w:proofErr w:type="spellStart"/>
      <w:r w:rsidRPr="00AD531B">
        <w:rPr>
          <w:rFonts w:ascii="Cambria" w:hAnsi="Cambria"/>
          <w:iCs/>
          <w:sz w:val="19"/>
          <w:szCs w:val="24"/>
        </w:rPr>
        <w:t>dd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 mm. </w:t>
      </w:r>
      <w:proofErr w:type="spellStart"/>
      <w:r w:rsidRPr="00AD531B">
        <w:rPr>
          <w:rFonts w:ascii="Cambria" w:hAnsi="Cambria"/>
          <w:iCs/>
          <w:sz w:val="19"/>
          <w:szCs w:val="24"/>
        </w:rPr>
        <w:t>gggg</w:t>
      </w:r>
      <w:proofErr w:type="spellEnd"/>
      <w:r w:rsidRPr="00AD531B">
        <w:rPr>
          <w:rFonts w:ascii="Cambria" w:hAnsi="Cambria"/>
          <w:iCs/>
          <w:sz w:val="19"/>
          <w:szCs w:val="24"/>
        </w:rPr>
        <w:t>.)</w:t>
      </w:r>
      <w:r w:rsidRPr="00AD531B">
        <w:rPr>
          <w:rFonts w:ascii="Cambria" w:hAnsi="Cambria"/>
          <w:iCs/>
          <w:sz w:val="19"/>
          <w:szCs w:val="24"/>
        </w:rPr>
        <w:tab/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16.2. konsīlija slēdziens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     </w:t>
      </w:r>
      <w:r w:rsidRPr="00AD531B">
        <w:rPr>
          <w:rFonts w:ascii="Cambria" w:hAnsi="Cambria"/>
          <w:iCs/>
          <w:sz w:val="19"/>
          <w:szCs w:val="24"/>
        </w:rPr>
        <w:t xml:space="preserve">(1 – nozīmēta </w:t>
      </w:r>
      <w:proofErr w:type="spellStart"/>
      <w:r w:rsidRPr="00AD531B">
        <w:rPr>
          <w:rFonts w:ascii="Cambria" w:hAnsi="Cambria"/>
          <w:iCs/>
          <w:sz w:val="19"/>
          <w:szCs w:val="24"/>
        </w:rPr>
        <w:t>etiotropā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 ārstēšana; 2 – ārstēšana nav nozīmēta)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  <w:u w:val="dotted"/>
        </w:rPr>
      </w:pPr>
      <w:r w:rsidRPr="00AD531B">
        <w:rPr>
          <w:rFonts w:ascii="Cambria" w:hAnsi="Cambria"/>
          <w:iCs/>
          <w:sz w:val="19"/>
          <w:szCs w:val="24"/>
        </w:rPr>
        <w:t>16.3. ja 16.2. apakšpunktā atzīmēts 2, sniegt skaidrojumu</w:t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z w:val="19"/>
        </w:rPr>
        <w:tab/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ab/>
      </w:r>
    </w:p>
    <w:p w:rsidR="007552A5" w:rsidRPr="000B6F22" w:rsidRDefault="007552A5" w:rsidP="007552A5">
      <w:pPr>
        <w:tabs>
          <w:tab w:val="left" w:pos="5954"/>
          <w:tab w:val="right" w:pos="9071"/>
        </w:tabs>
        <w:spacing w:line="260" w:lineRule="atLeast"/>
        <w:jc w:val="center"/>
        <w:rPr>
          <w:rFonts w:ascii="Cambria" w:hAnsi="Cambria"/>
          <w:iCs/>
          <w:sz w:val="17"/>
          <w:szCs w:val="17"/>
        </w:rPr>
      </w:pPr>
      <w:r w:rsidRPr="000B6F22">
        <w:rPr>
          <w:rFonts w:ascii="Cambria" w:hAnsi="Cambria"/>
          <w:iCs/>
          <w:sz w:val="17"/>
          <w:szCs w:val="17"/>
        </w:rPr>
        <w:t xml:space="preserve"> (skaidrojums)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  <w:u w:val="dotted"/>
        </w:rPr>
      </w:pPr>
      <w:r w:rsidRPr="00AD531B">
        <w:rPr>
          <w:rFonts w:ascii="Cambria" w:hAnsi="Cambria"/>
          <w:b/>
          <w:iCs/>
          <w:sz w:val="19"/>
          <w:szCs w:val="24"/>
        </w:rPr>
        <w:t xml:space="preserve">17. </w:t>
      </w:r>
      <w:proofErr w:type="spellStart"/>
      <w:r w:rsidRPr="00AD531B">
        <w:rPr>
          <w:rFonts w:ascii="Cambria" w:hAnsi="Cambria"/>
          <w:b/>
          <w:iCs/>
          <w:sz w:val="19"/>
          <w:szCs w:val="24"/>
        </w:rPr>
        <w:t>Etiotropās</w:t>
      </w:r>
      <w:proofErr w:type="spellEnd"/>
      <w:r w:rsidRPr="00AD531B">
        <w:rPr>
          <w:rFonts w:ascii="Cambria" w:hAnsi="Cambria"/>
          <w:b/>
          <w:iCs/>
          <w:sz w:val="19"/>
          <w:szCs w:val="24"/>
        </w:rPr>
        <w:t xml:space="preserve"> ārstēšanas kurss</w:t>
      </w:r>
      <w:r w:rsidRPr="00AD531B">
        <w:rPr>
          <w:rFonts w:ascii="Cambria" w:hAnsi="Cambria"/>
          <w:iCs/>
          <w:sz w:val="19"/>
          <w:szCs w:val="24"/>
        </w:rPr>
        <w:t xml:space="preserve"> (aizpilda par katru ārstēšanas kursu)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17.1. ārstniecības iestāde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-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0B6F22" w:rsidRDefault="007552A5" w:rsidP="007552A5">
      <w:pPr>
        <w:tabs>
          <w:tab w:val="right" w:leader="dot" w:pos="9071"/>
        </w:tabs>
        <w:spacing w:line="260" w:lineRule="atLeast"/>
        <w:jc w:val="center"/>
        <w:rPr>
          <w:rFonts w:ascii="Cambria" w:hAnsi="Cambria"/>
          <w:iCs/>
          <w:sz w:val="17"/>
          <w:szCs w:val="17"/>
        </w:rPr>
      </w:pPr>
      <w:r>
        <w:rPr>
          <w:rFonts w:ascii="Cambria" w:hAnsi="Cambria"/>
          <w:iCs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Pr="000B6F22">
        <w:rPr>
          <w:rFonts w:ascii="Cambria" w:hAnsi="Cambria"/>
          <w:iCs/>
          <w:sz w:val="17"/>
          <w:szCs w:val="17"/>
        </w:rPr>
        <w:t>(kods Ārstniecības iestāžu reģistrā)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17.2. ārstēšanā izmantotie medikamenti/ārstēšanas shēmas kods</w:t>
      </w:r>
      <w:r w:rsidRPr="00AD531B">
        <w:rPr>
          <w:rFonts w:ascii="Cambria" w:hAnsi="Cambria"/>
          <w:iCs/>
          <w:sz w:val="19"/>
          <w:szCs w:val="24"/>
          <w:vertAlign w:val="superscript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     </w:t>
      </w:r>
      <w:r w:rsidRPr="00AD531B">
        <w:rPr>
          <w:rFonts w:ascii="Cambria" w:hAnsi="Cambria"/>
          <w:iCs/>
          <w:sz w:val="19"/>
          <w:szCs w:val="24"/>
        </w:rPr>
        <w:t xml:space="preserve">cits (norādīt) </w:t>
      </w:r>
      <w:r>
        <w:rPr>
          <w:rFonts w:ascii="Cambria" w:hAnsi="Cambria"/>
          <w:iCs/>
          <w:sz w:val="19"/>
          <w:szCs w:val="24"/>
        </w:rPr>
        <w:tab/>
      </w:r>
    </w:p>
    <w:p w:rsidR="007552A5" w:rsidRPr="00AD531B" w:rsidRDefault="007552A5" w:rsidP="007552A5">
      <w:pPr>
        <w:tabs>
          <w:tab w:val="left" w:pos="8222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17.3. plānotais ārstēšanas ilgums (norādīt nedēļu skaitu)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8505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17.4. ārstēšanas kursa apmaksa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     </w:t>
      </w:r>
      <w:r w:rsidRPr="00AD531B">
        <w:rPr>
          <w:rFonts w:ascii="Cambria" w:hAnsi="Cambria"/>
          <w:iCs/>
          <w:sz w:val="19"/>
          <w:szCs w:val="24"/>
        </w:rPr>
        <w:t xml:space="preserve">(1 – valsts apmaksāts; 2 – pacienta apmaksāts; 3 – daļējs pacienta </w:t>
      </w:r>
      <w:proofErr w:type="spellStart"/>
      <w:r w:rsidRPr="00AD531B">
        <w:rPr>
          <w:rFonts w:ascii="Cambria" w:hAnsi="Cambria"/>
          <w:iCs/>
          <w:sz w:val="19"/>
          <w:szCs w:val="24"/>
        </w:rPr>
        <w:t>līdzmaksājums</w:t>
      </w:r>
      <w:proofErr w:type="spellEnd"/>
      <w:r w:rsidRPr="00AD531B">
        <w:rPr>
          <w:rFonts w:ascii="Cambria" w:hAnsi="Cambria"/>
          <w:iCs/>
          <w:sz w:val="19"/>
          <w:szCs w:val="24"/>
        </w:rPr>
        <w:t>; 4 – pacienta dalība klīniskajā pētījumā; 5 –</w:t>
      </w:r>
      <w:r w:rsidRPr="00AD531B">
        <w:rPr>
          <w:rFonts w:ascii="Cambria" w:hAnsi="Cambria"/>
          <w:sz w:val="19"/>
        </w:rPr>
        <w:t xml:space="preserve"> </w:t>
      </w:r>
      <w:r w:rsidRPr="00AD531B">
        <w:rPr>
          <w:rFonts w:ascii="Cambria" w:hAnsi="Cambria"/>
          <w:iCs/>
          <w:sz w:val="19"/>
          <w:szCs w:val="24"/>
        </w:rPr>
        <w:t>zāļu lietošana līdzjūtības dēļ)</w:t>
      </w:r>
    </w:p>
    <w:p w:rsidR="007552A5" w:rsidRPr="00AD531B" w:rsidRDefault="007552A5" w:rsidP="007552A5">
      <w:pPr>
        <w:tabs>
          <w:tab w:val="left" w:pos="6237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17.5. ārstēšanas uzsākšanas datums (</w:t>
      </w:r>
      <w:proofErr w:type="spellStart"/>
      <w:r w:rsidRPr="00AD531B">
        <w:rPr>
          <w:rFonts w:ascii="Cambria" w:hAnsi="Cambria"/>
          <w:iCs/>
          <w:sz w:val="19"/>
          <w:szCs w:val="24"/>
        </w:rPr>
        <w:t>dd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 mm. </w:t>
      </w:r>
      <w:proofErr w:type="spellStart"/>
      <w:r w:rsidRPr="00AD531B">
        <w:rPr>
          <w:rFonts w:ascii="Cambria" w:hAnsi="Cambria"/>
          <w:iCs/>
          <w:sz w:val="19"/>
          <w:szCs w:val="24"/>
        </w:rPr>
        <w:t>gggg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.) 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17.6. ārstēšanas terapijas blakusefekti </w:t>
      </w:r>
      <w:r>
        <w:rPr>
          <w:rFonts w:ascii="Cambria" w:hAnsi="Cambria"/>
          <w:iCs/>
          <w:sz w:val="19"/>
          <w:szCs w:val="24"/>
        </w:rPr>
        <w:tab/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ab/>
      </w: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18. Ārstēšana pārtraukta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18.1. ārstēšanas pārtraukšanas datums</w:t>
      </w:r>
      <w:r w:rsidRPr="00AD531B">
        <w:rPr>
          <w:rFonts w:ascii="Cambria" w:hAnsi="Cambria"/>
          <w:iCs/>
          <w:sz w:val="19"/>
          <w:szCs w:val="24"/>
        </w:rPr>
        <w:tab/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/>
          <w:iCs/>
          <w:sz w:val="19"/>
          <w:szCs w:val="24"/>
        </w:rPr>
        <w:t xml:space="preserve"> 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18.2. ārstēšanas pārtraukšanas iemesls</w:t>
      </w:r>
    </w:p>
    <w:p w:rsidR="007552A5" w:rsidRPr="00AD531B" w:rsidRDefault="007552A5" w:rsidP="007552A5">
      <w:pPr>
        <w:tabs>
          <w:tab w:val="left" w:pos="6237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      </w:t>
      </w:r>
      <w:r w:rsidRPr="00AD531B">
        <w:rPr>
          <w:rFonts w:ascii="Cambria" w:hAnsi="Cambria"/>
          <w:iCs/>
          <w:sz w:val="19"/>
          <w:szCs w:val="24"/>
        </w:rPr>
        <w:t xml:space="preserve">(1 – medicīniskas blaknes; 2 – pacienta </w:t>
      </w:r>
      <w:proofErr w:type="spellStart"/>
      <w:r w:rsidRPr="00AD531B">
        <w:rPr>
          <w:rFonts w:ascii="Cambria" w:hAnsi="Cambria"/>
          <w:iCs/>
          <w:sz w:val="19"/>
          <w:szCs w:val="24"/>
        </w:rPr>
        <w:t>nelīdzestība</w:t>
      </w:r>
      <w:proofErr w:type="spellEnd"/>
      <w:r w:rsidRPr="00AD531B">
        <w:rPr>
          <w:rFonts w:ascii="Cambria" w:hAnsi="Cambria"/>
          <w:iCs/>
          <w:sz w:val="19"/>
          <w:szCs w:val="24"/>
        </w:rPr>
        <w:t>; 3 – pacients miris; 4 – cits)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19. Ārstēšana pabeigta</w:t>
      </w:r>
    </w:p>
    <w:p w:rsidR="007552A5" w:rsidRPr="00AD531B" w:rsidRDefault="007552A5" w:rsidP="007552A5">
      <w:pPr>
        <w:tabs>
          <w:tab w:val="left" w:pos="6237"/>
          <w:tab w:val="right" w:pos="9356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19.1. ārstēšanas pabeigšanas datums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lastRenderedPageBreak/>
        <w:t>20. Novērošana pēc terapijas beigām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20.1. līdz diviem mēnešiem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20.1.1. HCV RNS</w:t>
      </w:r>
      <w:r w:rsidRPr="00AD531B">
        <w:rPr>
          <w:rStyle w:val="EndnoteReference"/>
          <w:rFonts w:ascii="Cambria" w:hAnsi="Cambria"/>
          <w:iCs/>
          <w:sz w:val="19"/>
          <w:szCs w:val="24"/>
        </w:rPr>
        <w:endnoteReference w:id="6"/>
      </w:r>
      <w:r w:rsidRPr="00AD531B">
        <w:rPr>
          <w:rFonts w:ascii="Cambria" w:hAnsi="Cambria"/>
          <w:iCs/>
          <w:sz w:val="19"/>
          <w:szCs w:val="24"/>
        </w:rPr>
        <w:t xml:space="preserve">: 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pozitīvs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negatīvs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nav izmeklēts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20.2. trīs–pieci mēneši</w:t>
      </w: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20.2.1. HCV RNS:  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pozitīvs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negatīvs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nav izmeklēts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20.3. seši–vienpadsmit mēneši</w:t>
      </w: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20.3.1. HCV RNS:  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pozitīvs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negatīvs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nav izmeklēts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20.4. viens gads un vairāk</w:t>
      </w:r>
    </w:p>
    <w:p w:rsidR="007552A5" w:rsidRPr="00AD531B" w:rsidRDefault="007552A5" w:rsidP="007552A5">
      <w:pP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20.4.1. HCV RNS:  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pozitīvs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negatīvs    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nav izmeklēts 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21. Aknu transplantācija</w:t>
      </w:r>
    </w:p>
    <w:p w:rsidR="007552A5" w:rsidRPr="00AD531B" w:rsidRDefault="007552A5" w:rsidP="007552A5">
      <w:pPr>
        <w:tabs>
          <w:tab w:val="left" w:pos="6237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21.1. veikta transplantācija (</w:t>
      </w:r>
      <w:proofErr w:type="spellStart"/>
      <w:r w:rsidRPr="00AD531B">
        <w:rPr>
          <w:rFonts w:ascii="Cambria" w:hAnsi="Cambria"/>
          <w:iCs/>
          <w:sz w:val="19"/>
          <w:szCs w:val="24"/>
        </w:rPr>
        <w:t>dd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 mm. </w:t>
      </w:r>
      <w:proofErr w:type="spellStart"/>
      <w:r w:rsidRPr="00AD531B">
        <w:rPr>
          <w:rFonts w:ascii="Cambria" w:hAnsi="Cambria"/>
          <w:iCs/>
          <w:sz w:val="19"/>
          <w:szCs w:val="24"/>
        </w:rPr>
        <w:t>gggg</w:t>
      </w:r>
      <w:proofErr w:type="spellEnd"/>
      <w:r w:rsidRPr="00AD531B">
        <w:rPr>
          <w:rFonts w:ascii="Cambria" w:hAnsi="Cambria"/>
          <w:iCs/>
          <w:sz w:val="19"/>
          <w:szCs w:val="24"/>
        </w:rPr>
        <w:t>.)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left" w:pos="8647"/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21.2. transplantācijas rezultāts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     </w:t>
      </w:r>
      <w:r w:rsidRPr="00AD531B">
        <w:rPr>
          <w:rFonts w:ascii="Cambria" w:hAnsi="Cambria"/>
          <w:iCs/>
          <w:sz w:val="19"/>
          <w:szCs w:val="24"/>
        </w:rPr>
        <w:t>(1 – izveseļošanās; 2 – komplikācijas; 3 – pacients miris; 4 – cits)</w:t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b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22. Pacients miris</w:t>
      </w:r>
      <w:r w:rsidRPr="00AD531B">
        <w:rPr>
          <w:rStyle w:val="EndnoteReference"/>
          <w:rFonts w:ascii="Cambria" w:hAnsi="Cambria"/>
          <w:b/>
          <w:iCs/>
          <w:sz w:val="19"/>
          <w:szCs w:val="24"/>
        </w:rPr>
        <w:endnoteReference w:id="7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22.1. nāves iestāšanās datums (</w:t>
      </w:r>
      <w:proofErr w:type="spellStart"/>
      <w:r w:rsidRPr="00AD531B">
        <w:rPr>
          <w:rFonts w:ascii="Cambria" w:hAnsi="Cambria"/>
          <w:iCs/>
          <w:sz w:val="19"/>
          <w:szCs w:val="24"/>
        </w:rPr>
        <w:t>dd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 mm. </w:t>
      </w:r>
      <w:proofErr w:type="spellStart"/>
      <w:r w:rsidRPr="00AD531B">
        <w:rPr>
          <w:rFonts w:ascii="Cambria" w:hAnsi="Cambria"/>
          <w:iCs/>
          <w:sz w:val="19"/>
          <w:szCs w:val="24"/>
        </w:rPr>
        <w:t>gggg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.) 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 xml:space="preserve">22.2. nāves cēlonis (SSK-10) 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</w:rPr>
        <w:t>22.3. nāve saistīta ar C hepatīta izraisītu aknu patoloģiju</w:t>
      </w:r>
      <w:r w:rsidRPr="00AD531B">
        <w:rPr>
          <w:rFonts w:ascii="Cambria" w:hAnsi="Cambria"/>
          <w:iCs/>
          <w:sz w:val="19"/>
          <w:szCs w:val="24"/>
        </w:rPr>
        <w:tab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 xml:space="preserve"> </w:t>
      </w: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  <w:r>
        <w:rPr>
          <w:rFonts w:ascii="Cambria" w:hAnsi="Cambria"/>
          <w:iCs/>
          <w:sz w:val="19"/>
          <w:szCs w:val="24"/>
        </w:rPr>
        <w:t xml:space="preserve">         </w:t>
      </w:r>
      <w:r w:rsidRPr="00AD531B">
        <w:rPr>
          <w:rFonts w:ascii="Cambria" w:hAnsi="Cambria"/>
          <w:iCs/>
          <w:sz w:val="19"/>
          <w:szCs w:val="24"/>
        </w:rPr>
        <w:t>(1 – jā; 2 – nē)</w:t>
      </w: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leader="dot" w:pos="9071"/>
        </w:tabs>
        <w:spacing w:line="260" w:lineRule="atLeast"/>
        <w:rPr>
          <w:rFonts w:ascii="Cambria" w:hAnsi="Cambria"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23. Piezīmes</w:t>
      </w:r>
      <w:r w:rsidRPr="00AD531B">
        <w:rPr>
          <w:rFonts w:ascii="Cambria" w:hAnsi="Cambria"/>
          <w:iCs/>
          <w:sz w:val="19"/>
          <w:szCs w:val="24"/>
        </w:rPr>
        <w:t xml:space="preserve"> (</w:t>
      </w:r>
      <w:r w:rsidRPr="00AD531B">
        <w:rPr>
          <w:rFonts w:ascii="Cambria" w:hAnsi="Cambria"/>
          <w:sz w:val="19"/>
          <w:szCs w:val="24"/>
        </w:rPr>
        <w:t xml:space="preserve">norāda papildu informāciju, kas būtiska pacienta ārstēšanā, bet nav iekļauta kartē) </w:t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ab/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ab/>
      </w:r>
    </w:p>
    <w:p w:rsidR="007552A5" w:rsidRPr="00AD531B" w:rsidRDefault="007552A5" w:rsidP="007552A5">
      <w:pPr>
        <w:tabs>
          <w:tab w:val="right" w:leader="underscore" w:pos="9498"/>
        </w:tabs>
        <w:spacing w:line="260" w:lineRule="atLeas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ab/>
      </w:r>
    </w:p>
    <w:p w:rsidR="007552A5" w:rsidRPr="00AD531B" w:rsidRDefault="007552A5" w:rsidP="007552A5">
      <w:pP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  <w:u w:val="single"/>
        </w:rPr>
      </w:pPr>
      <w:r w:rsidRPr="00AD531B">
        <w:rPr>
          <w:rFonts w:ascii="Cambria" w:hAnsi="Cambria"/>
          <w:b/>
          <w:iCs/>
          <w:sz w:val="19"/>
          <w:szCs w:val="24"/>
        </w:rPr>
        <w:t>24. Ārsts</w:t>
      </w:r>
      <w:r w:rsidRPr="00AD531B">
        <w:rPr>
          <w:rFonts w:ascii="Cambria" w:hAnsi="Cambria"/>
          <w:iCs/>
          <w:sz w:val="19"/>
          <w:szCs w:val="24"/>
        </w:rPr>
        <w:t xml:space="preserve"> (ievada pēc katras aktualizācijas) </w:t>
      </w:r>
      <w:r w:rsidRPr="00AD531B">
        <w:rPr>
          <w:rFonts w:ascii="Cambria" w:hAnsi="Cambria"/>
          <w:iCs/>
          <w:sz w:val="19"/>
          <w:szCs w:val="24"/>
          <w:u w:val="single"/>
        </w:rPr>
        <w:tab/>
      </w:r>
    </w:p>
    <w:p w:rsidR="007552A5" w:rsidRPr="00AD531B" w:rsidRDefault="007552A5" w:rsidP="007552A5">
      <w:pPr>
        <w:tabs>
          <w:tab w:val="right" w:pos="9498"/>
        </w:tabs>
        <w:spacing w:before="60"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iCs/>
          <w:sz w:val="19"/>
          <w:szCs w:val="24"/>
          <w:u w:val="single"/>
        </w:rPr>
        <w:tab/>
      </w:r>
      <w:r w:rsidRPr="00AD531B">
        <w:rPr>
          <w:rFonts w:ascii="Cambria" w:hAnsi="Cambria"/>
          <w:iCs/>
          <w:sz w:val="19"/>
          <w:szCs w:val="24"/>
        </w:rPr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</w:p>
    <w:p w:rsidR="007552A5" w:rsidRPr="008D0FB0" w:rsidRDefault="007552A5" w:rsidP="007552A5">
      <w:pPr>
        <w:spacing w:line="260" w:lineRule="atLeast"/>
        <w:jc w:val="left"/>
        <w:rPr>
          <w:rFonts w:ascii="Cambria" w:hAnsi="Cambria"/>
          <w:iCs/>
          <w:sz w:val="17"/>
          <w:szCs w:val="17"/>
        </w:rPr>
      </w:pPr>
      <w:r>
        <w:rPr>
          <w:rFonts w:ascii="Cambria" w:hAnsi="Cambria"/>
          <w:iCs/>
          <w:sz w:val="17"/>
          <w:szCs w:val="17"/>
        </w:rPr>
        <w:t xml:space="preserve">                                       </w:t>
      </w:r>
      <w:r w:rsidRPr="008D0FB0">
        <w:rPr>
          <w:rFonts w:ascii="Cambria" w:hAnsi="Cambria"/>
          <w:iCs/>
          <w:sz w:val="17"/>
          <w:szCs w:val="17"/>
        </w:rPr>
        <w:t>(vārds, uzvārds un identifikācijas numurs)</w:t>
      </w:r>
    </w:p>
    <w:p w:rsidR="007552A5" w:rsidRPr="00AD531B" w:rsidRDefault="007552A5" w:rsidP="007552A5">
      <w:pPr>
        <w:pBdr>
          <w:bottom w:val="single" w:sz="12" w:space="1" w:color="auto"/>
        </w:pBdr>
        <w:tabs>
          <w:tab w:val="left" w:pos="6237"/>
          <w:tab w:val="right" w:pos="9071"/>
        </w:tabs>
        <w:spacing w:line="260" w:lineRule="atLeast"/>
        <w:rPr>
          <w:rFonts w:ascii="Cambria" w:hAnsi="Cambria"/>
          <w:iCs/>
          <w:sz w:val="19"/>
          <w:szCs w:val="20"/>
        </w:rPr>
      </w:pPr>
    </w:p>
    <w:p w:rsidR="007552A5" w:rsidRPr="00AD531B" w:rsidRDefault="007552A5" w:rsidP="007552A5">
      <w:pPr>
        <w:pBdr>
          <w:bottom w:val="single" w:sz="12" w:space="1" w:color="auto"/>
        </w:pBdr>
        <w:tabs>
          <w:tab w:val="right" w:pos="9498"/>
        </w:tabs>
        <w:spacing w:line="260" w:lineRule="atLeast"/>
        <w:rPr>
          <w:rFonts w:ascii="Cambria" w:hAnsi="Cambria"/>
          <w:iCs/>
          <w:sz w:val="19"/>
          <w:szCs w:val="24"/>
        </w:rPr>
      </w:pPr>
      <w:r w:rsidRPr="00AD531B">
        <w:rPr>
          <w:rFonts w:ascii="Cambria" w:hAnsi="Cambria"/>
          <w:b/>
          <w:iCs/>
          <w:sz w:val="19"/>
          <w:szCs w:val="24"/>
        </w:rPr>
        <w:t>25. Kartes aktualizācijas datums</w:t>
      </w:r>
      <w:r w:rsidRPr="00AD531B">
        <w:rPr>
          <w:rFonts w:ascii="Cambria" w:hAnsi="Cambria"/>
          <w:iCs/>
          <w:sz w:val="19"/>
          <w:szCs w:val="24"/>
        </w:rPr>
        <w:t xml:space="preserve"> (</w:t>
      </w:r>
      <w:proofErr w:type="spellStart"/>
      <w:r w:rsidRPr="00AD531B">
        <w:rPr>
          <w:rFonts w:ascii="Cambria" w:hAnsi="Cambria"/>
          <w:iCs/>
          <w:sz w:val="19"/>
          <w:szCs w:val="24"/>
        </w:rPr>
        <w:t>dd</w:t>
      </w:r>
      <w:proofErr w:type="spellEnd"/>
      <w:r w:rsidRPr="00AD531B">
        <w:rPr>
          <w:rFonts w:ascii="Cambria" w:hAnsi="Cambria"/>
          <w:iCs/>
          <w:sz w:val="19"/>
          <w:szCs w:val="24"/>
        </w:rPr>
        <w:t xml:space="preserve">. mm. </w:t>
      </w:r>
      <w:proofErr w:type="spellStart"/>
      <w:r w:rsidRPr="00AD531B">
        <w:rPr>
          <w:rFonts w:ascii="Cambria" w:hAnsi="Cambria"/>
          <w:iCs/>
          <w:sz w:val="19"/>
          <w:szCs w:val="24"/>
        </w:rPr>
        <w:t>gggg</w:t>
      </w:r>
      <w:proofErr w:type="spellEnd"/>
      <w:r w:rsidRPr="00AD531B">
        <w:rPr>
          <w:rFonts w:ascii="Cambria" w:hAnsi="Cambria"/>
          <w:iCs/>
          <w:sz w:val="19"/>
          <w:szCs w:val="24"/>
        </w:rPr>
        <w:t>.)</w:t>
      </w:r>
      <w:r w:rsidRPr="00AD531B">
        <w:rPr>
          <w:rFonts w:ascii="Cambria" w:hAnsi="Cambria"/>
          <w:iCs/>
          <w:sz w:val="19"/>
          <w:szCs w:val="24"/>
        </w:rPr>
        <w:tab/>
        <w:t xml:space="preserve"> 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AD531B">
        <w:rPr>
          <w:rFonts w:ascii="Cambria" w:hAnsi="Cambria"/>
          <w:iCs/>
          <w:sz w:val="19"/>
          <w:szCs w:val="24"/>
        </w:rPr>
        <w:instrText xml:space="preserve"> FORMCHECKBOX </w:instrText>
      </w:r>
      <w:r w:rsidR="00397447">
        <w:rPr>
          <w:rFonts w:ascii="Cambria" w:hAnsi="Cambria"/>
          <w:iCs/>
          <w:sz w:val="19"/>
          <w:szCs w:val="24"/>
        </w:rPr>
      </w:r>
      <w:r w:rsidR="00397447">
        <w:rPr>
          <w:rFonts w:ascii="Cambria" w:hAnsi="Cambria"/>
          <w:iCs/>
          <w:sz w:val="19"/>
          <w:szCs w:val="24"/>
        </w:rPr>
        <w:fldChar w:fldCharType="separate"/>
      </w:r>
      <w:r w:rsidRPr="00AD531B">
        <w:rPr>
          <w:rFonts w:ascii="Cambria" w:hAnsi="Cambria"/>
          <w:iCs/>
          <w:sz w:val="19"/>
          <w:szCs w:val="24"/>
        </w:rPr>
        <w:fldChar w:fldCharType="end"/>
      </w:r>
      <w:r w:rsidRPr="00AD531B">
        <w:rPr>
          <w:rFonts w:ascii="Cambria" w:hAnsi="Cambria"/>
          <w:iCs/>
          <w:sz w:val="19"/>
          <w:szCs w:val="24"/>
        </w:rPr>
        <w:t>.</w:t>
      </w:r>
    </w:p>
    <w:p w:rsidR="007552A5" w:rsidRPr="00AD531B" w:rsidRDefault="007552A5" w:rsidP="007552A5">
      <w:pPr>
        <w:pBdr>
          <w:bottom w:val="single" w:sz="12" w:space="1" w:color="auto"/>
        </w:pBdr>
        <w:tabs>
          <w:tab w:val="right" w:pos="9071"/>
        </w:tabs>
        <w:spacing w:line="260" w:lineRule="atLeast"/>
        <w:rPr>
          <w:rFonts w:ascii="Cambria" w:hAnsi="Cambria"/>
          <w:iCs/>
          <w:sz w:val="19"/>
          <w:szCs w:val="24"/>
        </w:rPr>
      </w:pPr>
    </w:p>
    <w:p w:rsidR="007552A5" w:rsidRPr="00AD531B" w:rsidRDefault="007552A5" w:rsidP="007552A5">
      <w:pPr>
        <w:spacing w:line="260" w:lineRule="atLeast"/>
        <w:rPr>
          <w:rFonts w:ascii="Cambria" w:hAnsi="Cambria"/>
          <w:iCs/>
          <w:sz w:val="19"/>
          <w:szCs w:val="24"/>
        </w:rPr>
      </w:pPr>
    </w:p>
    <w:p w:rsidR="00BC3EC1" w:rsidRDefault="00BC3EC1"/>
    <w:sectPr w:rsidR="00BC3EC1" w:rsidSect="00AD531B">
      <w:endnotePr>
        <w:numFmt w:val="decimal"/>
      </w:endnotePr>
      <w:pgSz w:w="11907" w:h="16839" w:code="9"/>
      <w:pgMar w:top="1871" w:right="1191" w:bottom="1474" w:left="119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A5" w:rsidRDefault="007552A5" w:rsidP="007552A5">
      <w:r>
        <w:separator/>
      </w:r>
    </w:p>
  </w:endnote>
  <w:endnote w:type="continuationSeparator" w:id="0">
    <w:p w:rsidR="007552A5" w:rsidRDefault="007552A5" w:rsidP="007552A5">
      <w:r>
        <w:continuationSeparator/>
      </w:r>
    </w:p>
  </w:endnote>
  <w:endnote w:id="1"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Fonts w:ascii="Cambria" w:hAnsi="Cambria"/>
          <w:sz w:val="17"/>
          <w:szCs w:val="17"/>
        </w:rPr>
        <w:t>Piezīmes.</w:t>
      </w:r>
    </w:p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en-GB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Informācija tiek saņemta no Iedzīvotāju reģistra.</w:t>
      </w:r>
    </w:p>
  </w:endnote>
  <w:endnote w:id="2"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Informācija tiek saņemta no valsts informācijas sistēmas "Valsts infekcijas slimību uzraudzības un monitoringa sistēma", ko ievada Slimību profilakses un kontroles centrs.</w:t>
      </w:r>
    </w:p>
  </w:endnote>
  <w:endnote w:id="3"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Starptautiskā statistiskā slimību un veselības problēmu klasifikācija (SSK – 10. redakcija).</w:t>
      </w:r>
    </w:p>
  </w:endnote>
  <w:endnote w:id="4"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Fibrozes stadija noteikta pēc METAVIR skalas.</w:t>
      </w:r>
    </w:p>
  </w:endnote>
  <w:endnote w:id="5"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Tiešsaistes režīmā iespējams izvēlēties atbilstošo izvēlēto medikamentu kombināciju. Slimību profilakses un kontroles centrs papildus nodrošina skaidrojumu tīmekļvietnē www.spkc.gov.lv.</w:t>
      </w:r>
    </w:p>
  </w:endnote>
  <w:endnote w:id="6">
    <w:p w:rsidR="007552A5" w:rsidRPr="008D0FB0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HCV RNS ir pozitīvs, ja tā koncentrācija ir augstāka par izmantotā laboratorijas testa noteikšanas slieksni.</w:t>
      </w:r>
    </w:p>
  </w:endnote>
  <w:endnote w:id="7">
    <w:p w:rsidR="007552A5" w:rsidRPr="007552A5" w:rsidRDefault="007552A5" w:rsidP="007552A5">
      <w:pPr>
        <w:pStyle w:val="EndnoteText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D0FB0">
        <w:rPr>
          <w:rStyle w:val="EndnoteReference"/>
          <w:rFonts w:ascii="Cambria" w:hAnsi="Cambria"/>
          <w:sz w:val="17"/>
          <w:szCs w:val="17"/>
        </w:rPr>
        <w:endnoteRef/>
      </w:r>
      <w:r w:rsidRPr="008D0FB0">
        <w:rPr>
          <w:rFonts w:ascii="Cambria" w:hAnsi="Cambria"/>
          <w:sz w:val="17"/>
          <w:szCs w:val="17"/>
        </w:rPr>
        <w:t xml:space="preserve"> Informācija tiek saņemta no Latvijas iedzīvotāju nāves cēloņu datubāzes, ko ievada Slimību profilakses un kontroles centrs.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A5" w:rsidRDefault="007552A5" w:rsidP="007552A5">
      <w:r>
        <w:separator/>
      </w:r>
    </w:p>
  </w:footnote>
  <w:footnote w:type="continuationSeparator" w:id="0">
    <w:p w:rsidR="007552A5" w:rsidRDefault="007552A5" w:rsidP="0075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A5"/>
    <w:rsid w:val="00397447"/>
    <w:rsid w:val="007552A5"/>
    <w:rsid w:val="00B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989D58-2641-475D-AC46-27971721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A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552A5"/>
    <w:pPr>
      <w:jc w:val="left"/>
    </w:pPr>
    <w:rPr>
      <w:rFonts w:ascii="Calibri" w:hAnsi="Calibri"/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52A5"/>
    <w:rPr>
      <w:rFonts w:ascii="Calibri" w:eastAsia="Calibri" w:hAnsi="Calibri" w:cs="Times New Roman"/>
      <w:sz w:val="20"/>
      <w:szCs w:val="20"/>
      <w:lang w:eastAsia="x-none"/>
    </w:rPr>
  </w:style>
  <w:style w:type="character" w:styleId="EndnoteReference">
    <w:name w:val="endnote reference"/>
    <w:uiPriority w:val="99"/>
    <w:semiHidden/>
    <w:unhideWhenUsed/>
    <w:rsid w:val="007552A5"/>
    <w:rPr>
      <w:vertAlign w:val="superscript"/>
    </w:rPr>
  </w:style>
  <w:style w:type="paragraph" w:styleId="Header">
    <w:name w:val="header"/>
    <w:basedOn w:val="Normal"/>
    <w:link w:val="HeaderChar"/>
    <w:unhideWhenUsed/>
    <w:rsid w:val="007552A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7552A5"/>
    <w:rPr>
      <w:rFonts w:ascii="Times New Roman" w:eastAsia="Calibri" w:hAnsi="Times New Roman" w:cs="Times New Roman"/>
      <w:sz w:val="28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3974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4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5039</Words>
  <Characters>2873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2018-06-14T10:41:00Z</dcterms:created>
  <dcterms:modified xsi:type="dcterms:W3CDTF">2018-06-14T10:45:00Z</dcterms:modified>
</cp:coreProperties>
</file>