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A8" w:rsidRPr="005151C7" w:rsidRDefault="00C67CA8" w:rsidP="00C67CA8">
      <w:pPr>
        <w:pStyle w:val="NApielikums"/>
        <w:spacing w:before="130" w:line="260" w:lineRule="exact"/>
        <w:ind w:firstLine="539"/>
        <w:rPr>
          <w:rFonts w:ascii="Cambria" w:hAnsi="Cambria"/>
          <w:sz w:val="19"/>
        </w:rPr>
      </w:pPr>
      <w:r w:rsidRPr="005151C7">
        <w:rPr>
          <w:rFonts w:ascii="Cambria" w:hAnsi="Cambria"/>
          <w:sz w:val="19"/>
        </w:rPr>
        <w:t>2. pielikums</w:t>
      </w:r>
      <w:r>
        <w:rPr>
          <w:rFonts w:ascii="Cambria" w:hAnsi="Cambria"/>
          <w:sz w:val="19"/>
        </w:rPr>
        <w:br/>
      </w:r>
      <w:r w:rsidRPr="005151C7">
        <w:rPr>
          <w:rFonts w:ascii="Cambria" w:hAnsi="Cambria"/>
          <w:sz w:val="19"/>
        </w:rPr>
        <w:t>Latvijas Bankas 2013. gada 16. septembra</w:t>
      </w:r>
      <w:r>
        <w:rPr>
          <w:rFonts w:ascii="Cambria" w:hAnsi="Cambria"/>
          <w:sz w:val="19"/>
        </w:rPr>
        <w:br/>
      </w:r>
      <w:r w:rsidRPr="005151C7">
        <w:rPr>
          <w:rFonts w:ascii="Cambria" w:hAnsi="Cambria"/>
          <w:sz w:val="19"/>
        </w:rPr>
        <w:t>noteikumiem Nr. 124</w:t>
      </w:r>
    </w:p>
    <w:p w:rsidR="00C67CA8" w:rsidRPr="00F50942" w:rsidRDefault="00C67CA8" w:rsidP="00C67CA8">
      <w:pPr>
        <w:pStyle w:val="NApielikums"/>
        <w:spacing w:before="130" w:line="260" w:lineRule="exact"/>
        <w:jc w:val="left"/>
        <w:rPr>
          <w:rFonts w:asciiTheme="majorHAnsi" w:hAnsiTheme="majorHAnsi"/>
          <w:i/>
          <w:sz w:val="18"/>
          <w:szCs w:val="18"/>
        </w:rPr>
      </w:pPr>
      <w:r w:rsidRPr="00F50942">
        <w:rPr>
          <w:rFonts w:asciiTheme="majorHAnsi" w:hAnsiTheme="majorHAnsi"/>
          <w:i/>
          <w:sz w:val="18"/>
          <w:szCs w:val="18"/>
        </w:rPr>
        <w:t>(Pielikums LB 26.04.</w:t>
      </w:r>
      <w:bookmarkStart w:id="0" w:name="_GoBack"/>
      <w:bookmarkEnd w:id="0"/>
      <w:r w:rsidRPr="00F50942">
        <w:rPr>
          <w:rFonts w:asciiTheme="majorHAnsi" w:hAnsiTheme="majorHAnsi"/>
          <w:i/>
          <w:sz w:val="18"/>
          <w:szCs w:val="18"/>
        </w:rPr>
        <w:t>2021. noteikumu Nr. 188 redakcijā)</w:t>
      </w:r>
    </w:p>
    <w:p w:rsidR="00C67CA8" w:rsidRPr="005151C7" w:rsidRDefault="00C67CA8" w:rsidP="00C67CA8">
      <w:pPr>
        <w:spacing w:before="130" w:line="260" w:lineRule="exact"/>
        <w:ind w:firstLine="539"/>
        <w:jc w:val="left"/>
        <w:rPr>
          <w:rFonts w:ascii="Cambria" w:hAnsi="Cambria"/>
          <w:sz w:val="19"/>
        </w:rPr>
      </w:pPr>
    </w:p>
    <w:p w:rsidR="00C67CA8" w:rsidRPr="00C67CA8" w:rsidRDefault="00C67CA8" w:rsidP="00C67CA8">
      <w:pPr>
        <w:spacing w:before="130" w:line="260" w:lineRule="exact"/>
        <w:ind w:firstLine="539"/>
        <w:rPr>
          <w:rFonts w:ascii="Cambria" w:hAnsi="Cambria"/>
          <w:b/>
          <w:szCs w:val="24"/>
        </w:rPr>
      </w:pPr>
      <w:r w:rsidRPr="00C67CA8">
        <w:rPr>
          <w:rFonts w:ascii="Cambria" w:hAnsi="Cambria"/>
          <w:b/>
          <w:szCs w:val="24"/>
        </w:rPr>
        <w:t xml:space="preserve">Pārskats par izmantotajām monētu apstrādes iekārtām un ar tām </w:t>
      </w:r>
      <w:r w:rsidRPr="00C67CA8">
        <w:rPr>
          <w:rFonts w:ascii="Cambria" w:hAnsi="Cambria"/>
          <w:b/>
          <w:color w:val="000000"/>
          <w:szCs w:val="24"/>
        </w:rPr>
        <w:t xml:space="preserve">apstrādāto </w:t>
      </w:r>
      <w:proofErr w:type="spellStart"/>
      <w:r w:rsidRPr="00C67CA8">
        <w:rPr>
          <w:rFonts w:ascii="Cambria" w:hAnsi="Cambria"/>
          <w:b/>
          <w:i/>
          <w:color w:val="000000"/>
          <w:szCs w:val="24"/>
        </w:rPr>
        <w:t>euro</w:t>
      </w:r>
      <w:proofErr w:type="spellEnd"/>
      <w:r w:rsidRPr="00C67CA8">
        <w:rPr>
          <w:rFonts w:ascii="Cambria" w:hAnsi="Cambria"/>
          <w:b/>
          <w:color w:val="000000"/>
          <w:szCs w:val="24"/>
        </w:rPr>
        <w:t xml:space="preserve"> monētu apjomu par ___. gada ___ pusgadu</w:t>
      </w:r>
    </w:p>
    <w:p w:rsidR="00C67CA8" w:rsidRPr="00C67CA8" w:rsidRDefault="00C67CA8" w:rsidP="00C67CA8">
      <w:pPr>
        <w:spacing w:before="130" w:line="260" w:lineRule="exact"/>
        <w:ind w:firstLine="539"/>
        <w:rPr>
          <w:rFonts w:ascii="Cambria" w:hAnsi="Cambria"/>
          <w:b/>
          <w:bCs/>
          <w:color w:val="000000"/>
          <w:szCs w:val="24"/>
        </w:rPr>
      </w:pPr>
    </w:p>
    <w:p w:rsidR="00C67CA8" w:rsidRPr="005151C7" w:rsidRDefault="00C67CA8" w:rsidP="00C67CA8">
      <w:pPr>
        <w:spacing w:before="130" w:line="260" w:lineRule="exact"/>
        <w:ind w:firstLine="539"/>
        <w:rPr>
          <w:rFonts w:ascii="Cambria" w:hAnsi="Cambria"/>
          <w:b/>
          <w:bCs/>
          <w:color w:val="000000"/>
          <w:sz w:val="19"/>
          <w:szCs w:val="20"/>
        </w:rPr>
      </w:pPr>
      <w:r w:rsidRPr="005151C7">
        <w:rPr>
          <w:rFonts w:ascii="Cambria" w:hAnsi="Cambria"/>
          <w:b/>
          <w:bCs/>
          <w:color w:val="000000"/>
          <w:sz w:val="19"/>
          <w:szCs w:val="20"/>
        </w:rPr>
        <w:t>1. Informācija par skaidrās naudas apstrādes iestādi</w:t>
      </w:r>
    </w:p>
    <w:p w:rsidR="00C67CA8" w:rsidRPr="005151C7" w:rsidRDefault="00C67CA8" w:rsidP="00C67CA8">
      <w:pPr>
        <w:spacing w:before="130" w:line="260" w:lineRule="exact"/>
        <w:ind w:firstLine="539"/>
        <w:rPr>
          <w:rFonts w:ascii="Cambria" w:hAnsi="Cambria"/>
          <w:color w:val="000000"/>
          <w:sz w:val="19"/>
          <w:szCs w:val="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8"/>
        <w:gridCol w:w="5574"/>
      </w:tblGrid>
      <w:tr w:rsidR="00C67CA8" w:rsidRPr="00FB5C4A" w:rsidTr="00E37F4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t>Komersanta nosaukums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</w:p>
        </w:tc>
      </w:tr>
      <w:tr w:rsidR="00C67CA8" w:rsidRPr="00FB5C4A" w:rsidTr="00E37F4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  <w:highlight w:val="yellow"/>
              </w:rPr>
            </w:pPr>
            <w:r w:rsidRPr="00FB5C4A"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t>Reģistrācijas Nr.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  <w:highlight w:val="yellow"/>
              </w:rPr>
            </w:pPr>
          </w:p>
        </w:tc>
      </w:tr>
      <w:tr w:rsidR="00C67CA8" w:rsidRPr="00FB5C4A" w:rsidTr="00E37F4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t>Juridiskā adrese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</w:p>
        </w:tc>
      </w:tr>
      <w:tr w:rsidR="00C67CA8" w:rsidRPr="00FB5C4A" w:rsidTr="00E37F4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A8" w:rsidRPr="00FB5C4A" w:rsidRDefault="00C67CA8" w:rsidP="00E37F47">
            <w:pPr>
              <w:jc w:val="left"/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t xml:space="preserve">Komercdarbības joma </w:t>
            </w:r>
            <w: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br/>
            </w:r>
            <w:r w:rsidRPr="00FB5C4A"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t>(atzīmē atbilstošo ar "X" 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5145"/>
            </w:tblGrid>
            <w:tr w:rsidR="00C67CA8" w:rsidRPr="007D4261" w:rsidTr="00E37F47">
              <w:tc>
                <w:tcPr>
                  <w:tcW w:w="396" w:type="dxa"/>
                  <w:shd w:val="clear" w:color="auto" w:fill="auto"/>
                </w:tcPr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w w:val="130"/>
                      <w:sz w:val="17"/>
                      <w:szCs w:val="17"/>
                    </w:rPr>
                  </w:pPr>
                  <w:r w:rsidRPr="007D4261">
                    <w:rPr>
                      <w:rFonts w:ascii="Cambria Math" w:hAnsi="Cambria Math" w:cs="Cambria Math"/>
                      <w:color w:val="000000"/>
                      <w:w w:val="130"/>
                      <w:sz w:val="17"/>
                      <w:szCs w:val="17"/>
                    </w:rPr>
                    <w:t>⎕</w:t>
                  </w:r>
                </w:p>
              </w:tc>
              <w:tc>
                <w:tcPr>
                  <w:tcW w:w="5935" w:type="dxa"/>
                  <w:shd w:val="clear" w:color="auto" w:fill="auto"/>
                </w:tcPr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sz w:val="19"/>
                      <w:szCs w:val="20"/>
                    </w:rPr>
                  </w:pPr>
                  <w:r w:rsidRPr="007D4261">
                    <w:rPr>
                      <w:rFonts w:ascii="Cambria" w:hAnsi="Cambria"/>
                      <w:color w:val="000000"/>
                      <w:sz w:val="19"/>
                      <w:szCs w:val="20"/>
                    </w:rPr>
                    <w:t xml:space="preserve">  kredītiestāde</w:t>
                  </w:r>
                </w:p>
              </w:tc>
            </w:tr>
            <w:tr w:rsidR="00C67CA8" w:rsidRPr="007D4261" w:rsidTr="00E37F47">
              <w:tc>
                <w:tcPr>
                  <w:tcW w:w="396" w:type="dxa"/>
                  <w:shd w:val="clear" w:color="auto" w:fill="auto"/>
                </w:tcPr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sz w:val="19"/>
                      <w:szCs w:val="20"/>
                    </w:rPr>
                  </w:pPr>
                  <w:r w:rsidRPr="007D4261">
                    <w:rPr>
                      <w:rFonts w:ascii="Cambria Math" w:hAnsi="Cambria Math" w:cs="Cambria Math"/>
                      <w:color w:val="000000"/>
                      <w:w w:val="130"/>
                      <w:sz w:val="17"/>
                      <w:szCs w:val="17"/>
                    </w:rPr>
                    <w:t>⎕</w:t>
                  </w:r>
                </w:p>
              </w:tc>
              <w:tc>
                <w:tcPr>
                  <w:tcW w:w="5935" w:type="dxa"/>
                  <w:shd w:val="clear" w:color="auto" w:fill="auto"/>
                </w:tcPr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sz w:val="19"/>
                      <w:szCs w:val="20"/>
                    </w:rPr>
                  </w:pPr>
                  <w:r w:rsidRPr="007D4261">
                    <w:rPr>
                      <w:rFonts w:ascii="Cambria" w:hAnsi="Cambria"/>
                      <w:color w:val="000000"/>
                      <w:sz w:val="19"/>
                      <w:szCs w:val="20"/>
                    </w:rPr>
                    <w:t xml:space="preserve">  ārvalstu valūtu pirkšanas un pārdošanas kapitālsabiedrība</w:t>
                  </w:r>
                </w:p>
              </w:tc>
            </w:tr>
            <w:tr w:rsidR="00C67CA8" w:rsidRPr="007D4261" w:rsidTr="00E37F47">
              <w:tc>
                <w:tcPr>
                  <w:tcW w:w="396" w:type="dxa"/>
                  <w:shd w:val="clear" w:color="auto" w:fill="auto"/>
                </w:tcPr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sz w:val="19"/>
                      <w:szCs w:val="20"/>
                    </w:rPr>
                  </w:pPr>
                  <w:r w:rsidRPr="007D4261">
                    <w:rPr>
                      <w:rFonts w:ascii="Cambria Math" w:hAnsi="Cambria Math" w:cs="Cambria Math"/>
                      <w:color w:val="000000"/>
                      <w:w w:val="130"/>
                      <w:sz w:val="17"/>
                      <w:szCs w:val="17"/>
                    </w:rPr>
                    <w:t>⎕</w:t>
                  </w:r>
                </w:p>
              </w:tc>
              <w:tc>
                <w:tcPr>
                  <w:tcW w:w="5935" w:type="dxa"/>
                  <w:shd w:val="clear" w:color="auto" w:fill="auto"/>
                </w:tcPr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sz w:val="19"/>
                      <w:szCs w:val="20"/>
                    </w:rPr>
                  </w:pPr>
                  <w:r w:rsidRPr="007D4261">
                    <w:rPr>
                      <w:rFonts w:ascii="Cambria" w:hAnsi="Cambria"/>
                      <w:color w:val="000000"/>
                      <w:sz w:val="19"/>
                      <w:szCs w:val="20"/>
                    </w:rPr>
                    <w:t xml:space="preserve">  naudas apstrādes komersants</w:t>
                  </w:r>
                </w:p>
              </w:tc>
            </w:tr>
            <w:tr w:rsidR="00C67CA8" w:rsidRPr="007D4261" w:rsidTr="00E37F47">
              <w:tc>
                <w:tcPr>
                  <w:tcW w:w="396" w:type="dxa"/>
                  <w:shd w:val="clear" w:color="auto" w:fill="auto"/>
                </w:tcPr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sz w:val="19"/>
                      <w:szCs w:val="20"/>
                    </w:rPr>
                  </w:pPr>
                  <w:r w:rsidRPr="007D4261">
                    <w:rPr>
                      <w:rFonts w:ascii="Cambria Math" w:hAnsi="Cambria Math" w:cs="Cambria Math"/>
                      <w:color w:val="000000"/>
                      <w:w w:val="130"/>
                      <w:sz w:val="17"/>
                      <w:szCs w:val="17"/>
                    </w:rPr>
                    <w:t>⎕</w:t>
                  </w:r>
                </w:p>
              </w:tc>
              <w:tc>
                <w:tcPr>
                  <w:tcW w:w="5935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9"/>
                    <w:gridCol w:w="4509"/>
                  </w:tblGrid>
                  <w:tr w:rsidR="00C67CA8" w:rsidRPr="007D4261" w:rsidTr="00E37F47">
                    <w:tc>
                      <w:tcPr>
                        <w:tcW w:w="493" w:type="dxa"/>
                        <w:shd w:val="clear" w:color="auto" w:fill="auto"/>
                      </w:tcPr>
                      <w:p w:rsidR="00C67CA8" w:rsidRPr="007D4261" w:rsidRDefault="00C67CA8" w:rsidP="00E37F47">
                        <w:pPr>
                          <w:pStyle w:val="ListParagraph"/>
                          <w:ind w:left="0"/>
                          <w:contextualSpacing w:val="0"/>
                          <w:jc w:val="left"/>
                          <w:rPr>
                            <w:rFonts w:ascii="Cambria" w:hAnsi="Cambria"/>
                            <w:color w:val="000000"/>
                            <w:sz w:val="19"/>
                            <w:szCs w:val="20"/>
                          </w:rPr>
                        </w:pPr>
                        <w:r w:rsidRPr="007D4261">
                          <w:rPr>
                            <w:rFonts w:ascii="Cambria" w:hAnsi="Cambria"/>
                            <w:color w:val="000000"/>
                            <w:sz w:val="19"/>
                            <w:szCs w:val="20"/>
                          </w:rPr>
                          <w:t xml:space="preserve">cits  </w:t>
                        </w:r>
                      </w:p>
                    </w:tc>
                    <w:tc>
                      <w:tcPr>
                        <w:tcW w:w="45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67CA8" w:rsidRPr="007D4261" w:rsidRDefault="00C67CA8" w:rsidP="00E37F47">
                        <w:pPr>
                          <w:pStyle w:val="ListParagraph"/>
                          <w:ind w:left="0"/>
                          <w:contextualSpacing w:val="0"/>
                          <w:jc w:val="left"/>
                          <w:rPr>
                            <w:rFonts w:ascii="Cambria" w:hAnsi="Cambria"/>
                            <w:color w:val="000000"/>
                            <w:sz w:val="19"/>
                            <w:szCs w:val="20"/>
                          </w:rPr>
                        </w:pPr>
                      </w:p>
                    </w:tc>
                  </w:tr>
                  <w:tr w:rsidR="00C67CA8" w:rsidRPr="007D4261" w:rsidTr="00E37F47">
                    <w:tc>
                      <w:tcPr>
                        <w:tcW w:w="493" w:type="dxa"/>
                        <w:shd w:val="clear" w:color="auto" w:fill="auto"/>
                      </w:tcPr>
                      <w:p w:rsidR="00C67CA8" w:rsidRPr="007D4261" w:rsidRDefault="00C67CA8" w:rsidP="00E37F47">
                        <w:pPr>
                          <w:pStyle w:val="ListParagraph"/>
                          <w:ind w:left="0"/>
                          <w:contextualSpacing w:val="0"/>
                          <w:jc w:val="left"/>
                          <w:rPr>
                            <w:rFonts w:ascii="Cambria" w:hAnsi="Cambria"/>
                            <w:color w:val="000000"/>
                            <w:sz w:val="19"/>
                            <w:szCs w:val="20"/>
                          </w:rPr>
                        </w:pPr>
                      </w:p>
                    </w:tc>
                    <w:tc>
                      <w:tcPr>
                        <w:tcW w:w="45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67CA8" w:rsidRPr="007D4261" w:rsidRDefault="00C67CA8" w:rsidP="00E37F47">
                        <w:pPr>
                          <w:pStyle w:val="ListParagraph"/>
                          <w:ind w:left="0"/>
                          <w:contextualSpacing w:val="0"/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 w:rsidRPr="007D4261"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(norādīt komercdarbības jomu)</w:t>
                        </w:r>
                      </w:p>
                    </w:tc>
                  </w:tr>
                </w:tbl>
                <w:p w:rsidR="00C67CA8" w:rsidRPr="007D4261" w:rsidRDefault="00C67CA8" w:rsidP="00E37F47">
                  <w:pPr>
                    <w:pStyle w:val="ListParagraph"/>
                    <w:ind w:left="0"/>
                    <w:contextualSpacing w:val="0"/>
                    <w:jc w:val="left"/>
                    <w:rPr>
                      <w:rFonts w:ascii="Cambria" w:hAnsi="Cambria"/>
                      <w:color w:val="000000"/>
                      <w:sz w:val="19"/>
                      <w:szCs w:val="20"/>
                    </w:rPr>
                  </w:pPr>
                </w:p>
              </w:tc>
            </w:tr>
          </w:tbl>
          <w:p w:rsidR="00C67CA8" w:rsidRPr="00FB5C4A" w:rsidRDefault="00C67CA8" w:rsidP="00E37F47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sz w:val="19"/>
                <w:szCs w:val="18"/>
              </w:rPr>
            </w:pPr>
          </w:p>
        </w:tc>
      </w:tr>
      <w:tr w:rsidR="00C67CA8" w:rsidRPr="00FB5C4A" w:rsidTr="00E37F4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t>Kontaktpersonas vārds, uzvārds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</w:p>
        </w:tc>
      </w:tr>
      <w:tr w:rsidR="00C67CA8" w:rsidRPr="00FB5C4A" w:rsidTr="00E37F4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  <w:t>Tālrunis, e-pasta adrese</w:t>
            </w:r>
          </w:p>
        </w:tc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b/>
                <w:bCs/>
                <w:color w:val="000000"/>
                <w:sz w:val="19"/>
                <w:szCs w:val="20"/>
              </w:rPr>
            </w:pPr>
          </w:p>
        </w:tc>
      </w:tr>
    </w:tbl>
    <w:p w:rsidR="00C67CA8" w:rsidRPr="005151C7" w:rsidRDefault="00C67CA8" w:rsidP="00C67CA8">
      <w:pPr>
        <w:spacing w:before="130" w:line="260" w:lineRule="exact"/>
        <w:ind w:firstLine="539"/>
        <w:rPr>
          <w:rFonts w:ascii="Cambria" w:hAnsi="Cambria"/>
          <w:b/>
          <w:bCs/>
          <w:color w:val="000000"/>
          <w:sz w:val="19"/>
          <w:szCs w:val="16"/>
        </w:rPr>
      </w:pPr>
    </w:p>
    <w:p w:rsidR="00C67CA8" w:rsidRPr="005151C7" w:rsidRDefault="00C67CA8" w:rsidP="00C67CA8">
      <w:pPr>
        <w:spacing w:before="130" w:line="260" w:lineRule="exact"/>
        <w:ind w:firstLine="539"/>
        <w:rPr>
          <w:rFonts w:ascii="Cambria" w:hAnsi="Cambria"/>
          <w:b/>
          <w:bCs/>
          <w:color w:val="000000"/>
          <w:sz w:val="19"/>
          <w:szCs w:val="20"/>
        </w:rPr>
      </w:pPr>
      <w:r w:rsidRPr="005151C7">
        <w:rPr>
          <w:rFonts w:ascii="Cambria" w:hAnsi="Cambria"/>
          <w:b/>
          <w:bCs/>
          <w:color w:val="000000"/>
          <w:sz w:val="19"/>
          <w:szCs w:val="20"/>
        </w:rPr>
        <w:t xml:space="preserve">2. Informācija par monētu apstrādes iekārtām un apstrādāto </w:t>
      </w:r>
      <w:proofErr w:type="spellStart"/>
      <w:r w:rsidRPr="005151C7">
        <w:rPr>
          <w:rFonts w:ascii="Cambria" w:hAnsi="Cambria"/>
          <w:b/>
          <w:bCs/>
          <w:i/>
          <w:color w:val="000000"/>
          <w:sz w:val="19"/>
          <w:szCs w:val="20"/>
        </w:rPr>
        <w:t>euro</w:t>
      </w:r>
      <w:proofErr w:type="spellEnd"/>
      <w:r w:rsidRPr="005151C7">
        <w:rPr>
          <w:rFonts w:ascii="Cambria" w:hAnsi="Cambria"/>
          <w:b/>
          <w:bCs/>
          <w:i/>
          <w:color w:val="000000"/>
          <w:sz w:val="19"/>
          <w:szCs w:val="20"/>
        </w:rPr>
        <w:t xml:space="preserve"> </w:t>
      </w:r>
      <w:r w:rsidRPr="005151C7">
        <w:rPr>
          <w:rFonts w:ascii="Cambria" w:hAnsi="Cambria"/>
          <w:b/>
          <w:bCs/>
          <w:color w:val="000000"/>
          <w:sz w:val="19"/>
          <w:szCs w:val="20"/>
        </w:rPr>
        <w:t xml:space="preserve">monētu apjomu </w:t>
      </w:r>
      <w:r w:rsidRPr="005151C7">
        <w:rPr>
          <w:rFonts w:ascii="Cambria" w:hAnsi="Cambria"/>
          <w:color w:val="000000"/>
          <w:sz w:val="19"/>
          <w:szCs w:val="20"/>
        </w:rPr>
        <w:t>(</w:t>
      </w:r>
      <w:r w:rsidRPr="005151C7">
        <w:rPr>
          <w:rFonts w:ascii="Cambria" w:hAnsi="Cambria"/>
          <w:i/>
          <w:iCs/>
          <w:color w:val="000000"/>
          <w:sz w:val="19"/>
          <w:szCs w:val="20"/>
        </w:rPr>
        <w:t>norādot katru iekārtu atsevišķā ailē</w:t>
      </w:r>
      <w:r w:rsidRPr="005151C7">
        <w:rPr>
          <w:rFonts w:ascii="Cambria" w:hAnsi="Cambria"/>
          <w:color w:val="000000"/>
          <w:sz w:val="19"/>
          <w:szCs w:val="20"/>
        </w:rPr>
        <w:t>)</w:t>
      </w:r>
    </w:p>
    <w:p w:rsidR="00C67CA8" w:rsidRPr="005151C7" w:rsidRDefault="00C67CA8" w:rsidP="00C67CA8">
      <w:pPr>
        <w:spacing w:before="130" w:line="260" w:lineRule="exact"/>
        <w:ind w:firstLine="539"/>
        <w:rPr>
          <w:rFonts w:ascii="Cambria" w:hAnsi="Cambria"/>
          <w:b/>
          <w:bCs/>
          <w:color w:val="000000"/>
          <w:sz w:val="19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533"/>
        <w:gridCol w:w="865"/>
        <w:gridCol w:w="1376"/>
        <w:gridCol w:w="1111"/>
        <w:gridCol w:w="889"/>
        <w:gridCol w:w="857"/>
      </w:tblGrid>
      <w:tr w:rsidR="00C67CA8" w:rsidRPr="00FB5C4A" w:rsidTr="00E37F47">
        <w:tc>
          <w:tcPr>
            <w:tcW w:w="631" w:type="pct"/>
            <w:vMerge w:val="restart"/>
            <w:hideMark/>
          </w:tcPr>
          <w:p w:rsidR="00C67CA8" w:rsidRPr="00FB5C4A" w:rsidRDefault="00C67CA8" w:rsidP="00E37F47">
            <w:pPr>
              <w:jc w:val="left"/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>Monētu apstrādes iekārtas modeļa nosaukums</w:t>
            </w:r>
          </w:p>
        </w:tc>
        <w:tc>
          <w:tcPr>
            <w:tcW w:w="487" w:type="pct"/>
            <w:vMerge w:val="restart"/>
            <w:hideMark/>
          </w:tcPr>
          <w:p w:rsidR="00C67CA8" w:rsidRPr="00FB5C4A" w:rsidRDefault="00C67CA8" w:rsidP="00E37F47">
            <w:pPr>
              <w:jc w:val="left"/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>Ražotājs</w:t>
            </w:r>
          </w:p>
        </w:tc>
        <w:tc>
          <w:tcPr>
            <w:tcW w:w="644" w:type="pct"/>
            <w:vMerge w:val="restart"/>
            <w:hideMark/>
          </w:tcPr>
          <w:p w:rsidR="00C67CA8" w:rsidRPr="00FB5C4A" w:rsidRDefault="00C67CA8" w:rsidP="00E37F47">
            <w:pPr>
              <w:jc w:val="left"/>
              <w:outlineLvl w:val="0"/>
              <w:rPr>
                <w:rFonts w:ascii="Cambria" w:hAnsi="Cambria"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color w:val="000000"/>
                <w:sz w:val="19"/>
                <w:szCs w:val="20"/>
              </w:rPr>
              <w:t>Identifikācija</w:t>
            </w:r>
          </w:p>
          <w:p w:rsidR="00C67CA8" w:rsidRPr="00FB5C4A" w:rsidRDefault="00C67CA8" w:rsidP="00E37F47">
            <w:pPr>
              <w:jc w:val="left"/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color w:val="000000"/>
                <w:sz w:val="19"/>
                <w:szCs w:val="20"/>
              </w:rPr>
              <w:t>(detektorsistēmas vai programmatūras versija)</w:t>
            </w:r>
          </w:p>
        </w:tc>
        <w:tc>
          <w:tcPr>
            <w:tcW w:w="509" w:type="pct"/>
            <w:vMerge w:val="restart"/>
            <w:hideMark/>
          </w:tcPr>
          <w:p w:rsidR="00C67CA8" w:rsidRPr="00FB5C4A" w:rsidRDefault="00C67CA8" w:rsidP="00E37F47">
            <w:pPr>
              <w:jc w:val="left"/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>Atrašanās vieta (adrese)</w:t>
            </w:r>
          </w:p>
        </w:tc>
        <w:tc>
          <w:tcPr>
            <w:tcW w:w="881" w:type="pct"/>
            <w:vMerge w:val="restart"/>
            <w:hideMark/>
          </w:tcPr>
          <w:p w:rsidR="00C67CA8" w:rsidRPr="00FB5C4A" w:rsidRDefault="00C67CA8" w:rsidP="00E37F47">
            <w:pPr>
              <w:jc w:val="left"/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 xml:space="preserve">Apstrādāto </w:t>
            </w:r>
            <w:proofErr w:type="spellStart"/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>euro</w:t>
            </w:r>
            <w:proofErr w:type="spellEnd"/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 xml:space="preserve"> </w:t>
            </w: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>monētu kopējais apjoms (milj. gab.)</w:t>
            </w:r>
          </w:p>
        </w:tc>
        <w:tc>
          <w:tcPr>
            <w:tcW w:w="1848" w:type="pct"/>
            <w:gridSpan w:val="3"/>
            <w:hideMark/>
          </w:tcPr>
          <w:p w:rsidR="00C67CA8" w:rsidRPr="00FB5C4A" w:rsidRDefault="00C67CA8" w:rsidP="00E37F47">
            <w:pPr>
              <w:jc w:val="center"/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 xml:space="preserve">Apstrādāto </w:t>
            </w:r>
            <w:proofErr w:type="spellStart"/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>euro</w:t>
            </w:r>
            <w:proofErr w:type="spellEnd"/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 xml:space="preserve"> </w:t>
            </w: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 xml:space="preserve">monētu apjoms nominālvērtību dalījumā </w:t>
            </w:r>
          </w:p>
          <w:p w:rsidR="00C67CA8" w:rsidRPr="00FB5C4A" w:rsidRDefault="00C67CA8" w:rsidP="00E37F47">
            <w:pPr>
              <w:jc w:val="center"/>
              <w:rPr>
                <w:rFonts w:ascii="Cambria" w:hAnsi="Cambria"/>
                <w:bCs/>
                <w:color w:val="000000"/>
                <w:sz w:val="19"/>
                <w:szCs w:val="20"/>
                <w:highlight w:val="yellow"/>
              </w:rPr>
            </w:pPr>
            <w:r w:rsidRPr="00FB5C4A">
              <w:rPr>
                <w:rFonts w:ascii="Cambria" w:hAnsi="Cambria"/>
                <w:bCs/>
                <w:color w:val="000000"/>
                <w:sz w:val="19"/>
                <w:szCs w:val="20"/>
              </w:rPr>
              <w:t>(milj. gab.)</w:t>
            </w:r>
          </w:p>
        </w:tc>
      </w:tr>
      <w:tr w:rsidR="00C67CA8" w:rsidRPr="00FB5C4A" w:rsidTr="00E37F47">
        <w:tc>
          <w:tcPr>
            <w:tcW w:w="0" w:type="auto"/>
            <w:vMerge/>
            <w:vAlign w:val="center"/>
            <w:hideMark/>
          </w:tcPr>
          <w:p w:rsidR="00C67CA8" w:rsidRPr="00FB5C4A" w:rsidRDefault="00C67CA8" w:rsidP="00E37F47">
            <w:pPr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CA8" w:rsidRPr="00FB5C4A" w:rsidRDefault="00C67CA8" w:rsidP="00E37F47">
            <w:pPr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CA8" w:rsidRPr="00FB5C4A" w:rsidRDefault="00C67CA8" w:rsidP="00E37F47">
            <w:pPr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CA8" w:rsidRPr="00FB5C4A" w:rsidRDefault="00C67CA8" w:rsidP="00E37F47">
            <w:pPr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CA8" w:rsidRPr="00FB5C4A" w:rsidRDefault="00C67CA8" w:rsidP="00E37F47">
            <w:pPr>
              <w:rPr>
                <w:rFonts w:ascii="Cambria" w:hAnsi="Cambria"/>
                <w:bCs/>
                <w:color w:val="000000"/>
                <w:sz w:val="19"/>
                <w:szCs w:val="20"/>
              </w:rPr>
            </w:pPr>
          </w:p>
        </w:tc>
        <w:tc>
          <w:tcPr>
            <w:tcW w:w="711" w:type="pct"/>
            <w:noWrap/>
            <w:vAlign w:val="bottom"/>
            <w:hideMark/>
          </w:tcPr>
          <w:p w:rsidR="00C67CA8" w:rsidRPr="00FB5C4A" w:rsidRDefault="00C67CA8" w:rsidP="00E37F47">
            <w:pPr>
              <w:jc w:val="center"/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color w:val="000000"/>
                <w:sz w:val="19"/>
                <w:szCs w:val="20"/>
              </w:rPr>
              <w:t>2</w:t>
            </w:r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578" w:type="pct"/>
            <w:vAlign w:val="bottom"/>
            <w:hideMark/>
          </w:tcPr>
          <w:p w:rsidR="00C67CA8" w:rsidRPr="00FB5C4A" w:rsidRDefault="00C67CA8" w:rsidP="00E37F47">
            <w:pPr>
              <w:jc w:val="center"/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color w:val="000000"/>
                <w:sz w:val="19"/>
                <w:szCs w:val="20"/>
              </w:rPr>
              <w:t>1</w:t>
            </w:r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559" w:type="pct"/>
            <w:vAlign w:val="bottom"/>
            <w:hideMark/>
          </w:tcPr>
          <w:p w:rsidR="00C67CA8" w:rsidRPr="00FB5C4A" w:rsidRDefault="00C67CA8" w:rsidP="00E37F47">
            <w:pPr>
              <w:jc w:val="center"/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FB5C4A">
              <w:rPr>
                <w:rFonts w:ascii="Cambria" w:hAnsi="Cambria"/>
                <w:color w:val="000000"/>
                <w:sz w:val="19"/>
                <w:szCs w:val="20"/>
              </w:rPr>
              <w:t>0.50</w:t>
            </w:r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FB5C4A">
              <w:rPr>
                <w:rFonts w:ascii="Cambria" w:hAnsi="Cambria"/>
                <w:i/>
                <w:color w:val="000000"/>
                <w:sz w:val="19"/>
                <w:szCs w:val="20"/>
              </w:rPr>
              <w:t>euro</w:t>
            </w:r>
            <w:proofErr w:type="spellEnd"/>
          </w:p>
        </w:tc>
      </w:tr>
      <w:tr w:rsidR="00C67CA8" w:rsidRPr="00FB5C4A" w:rsidTr="00E37F47">
        <w:trPr>
          <w:trHeight w:val="227"/>
        </w:trPr>
        <w:tc>
          <w:tcPr>
            <w:tcW w:w="631" w:type="pct"/>
            <w:hideMark/>
          </w:tcPr>
          <w:p w:rsidR="00C67CA8" w:rsidRPr="00FB5C4A" w:rsidRDefault="00C67CA8" w:rsidP="00E37F47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</w:p>
        </w:tc>
        <w:tc>
          <w:tcPr>
            <w:tcW w:w="487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9" w:type="pct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881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711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8" w:type="pct"/>
            <w:vAlign w:val="bottom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67CA8" w:rsidRPr="00FB5C4A" w:rsidTr="00E37F47">
        <w:trPr>
          <w:trHeight w:val="227"/>
        </w:trPr>
        <w:tc>
          <w:tcPr>
            <w:tcW w:w="631" w:type="pct"/>
            <w:hideMark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87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9" w:type="pct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881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711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8" w:type="pct"/>
            <w:vAlign w:val="bottom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C67CA8" w:rsidRPr="00FB5C4A" w:rsidTr="00E37F47">
        <w:trPr>
          <w:trHeight w:val="227"/>
        </w:trPr>
        <w:tc>
          <w:tcPr>
            <w:tcW w:w="631" w:type="pct"/>
            <w:hideMark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487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9" w:type="pct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881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711" w:type="pct"/>
            <w:noWrap/>
            <w:vAlign w:val="bottom"/>
            <w:hideMark/>
          </w:tcPr>
          <w:p w:rsidR="00C67CA8" w:rsidRPr="00FB5C4A" w:rsidRDefault="00C67CA8" w:rsidP="00E37F47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8" w:type="pct"/>
            <w:vAlign w:val="bottom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C67CA8" w:rsidRPr="00FB5C4A" w:rsidRDefault="00C67CA8" w:rsidP="00E37F47">
            <w:pPr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</w:tbl>
    <w:p w:rsidR="00C67CA8" w:rsidRPr="005151C7" w:rsidRDefault="00C67CA8" w:rsidP="00C67CA8">
      <w:pPr>
        <w:pStyle w:val="NApunkts2"/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:rsidR="00FA0337" w:rsidRDefault="00C67CA8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8"/>
    <w:rsid w:val="00106713"/>
    <w:rsid w:val="008311FA"/>
    <w:rsid w:val="00C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A8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C67CA8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C67C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Normal"/>
    <w:autoRedefine/>
    <w:qFormat/>
    <w:rsid w:val="00C67CA8"/>
    <w:pPr>
      <w:tabs>
        <w:tab w:val="left" w:pos="709"/>
      </w:tabs>
      <w:outlineLvl w:val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A8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C67CA8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C67C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Normal"/>
    <w:autoRedefine/>
    <w:qFormat/>
    <w:rsid w:val="00C67CA8"/>
    <w:pPr>
      <w:tabs>
        <w:tab w:val="left" w:pos="709"/>
      </w:tabs>
      <w:outlineLvl w:val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2021-04-28T06:55:00Z</dcterms:created>
  <dcterms:modified xsi:type="dcterms:W3CDTF">2021-04-28T06:56:00Z</dcterms:modified>
</cp:coreProperties>
</file>