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2B555" w14:textId="77777777" w:rsidR="00B80447" w:rsidRPr="00B80447" w:rsidRDefault="00B80447" w:rsidP="00B80447">
      <w:pPr>
        <w:suppressAutoHyphens/>
        <w:spacing w:before="130" w:after="0" w:line="260" w:lineRule="atLeast"/>
        <w:ind w:firstLine="539"/>
        <w:jc w:val="right"/>
        <w:rPr>
          <w:rFonts w:ascii="Cambria" w:eastAsia="Times New Roman" w:hAnsi="Cambria"/>
          <w:sz w:val="19"/>
          <w:szCs w:val="24"/>
          <w:lang w:val="lv-LV" w:eastAsia="en-GB"/>
        </w:rPr>
      </w:pPr>
      <w:r w:rsidRPr="00B80447">
        <w:rPr>
          <w:rFonts w:ascii="Cambria" w:eastAsia="Times New Roman" w:hAnsi="Cambria"/>
          <w:sz w:val="19"/>
          <w:szCs w:val="24"/>
          <w:lang w:val="lv-LV" w:eastAsia="en-GB"/>
        </w:rPr>
        <w:t>2. pielikums</w:t>
      </w:r>
      <w:r w:rsidRPr="00B80447">
        <w:rPr>
          <w:rFonts w:ascii="Cambria" w:eastAsia="Times New Roman" w:hAnsi="Cambria"/>
          <w:sz w:val="19"/>
          <w:szCs w:val="24"/>
          <w:lang w:val="lv-LV" w:eastAsia="en-GB"/>
        </w:rPr>
        <w:br/>
        <w:t>Ministru kabineta</w:t>
      </w:r>
      <w:r w:rsidRPr="00B80447">
        <w:rPr>
          <w:rFonts w:ascii="Cambria" w:eastAsia="Times New Roman" w:hAnsi="Cambria"/>
          <w:sz w:val="19"/>
          <w:szCs w:val="24"/>
          <w:lang w:val="lv-LV" w:eastAsia="en-GB"/>
        </w:rPr>
        <w:br/>
        <w:t>2026. gada 26. maija</w:t>
      </w:r>
      <w:r w:rsidRPr="00B80447">
        <w:rPr>
          <w:rFonts w:ascii="Cambria" w:eastAsia="Times New Roman" w:hAnsi="Cambria"/>
          <w:sz w:val="19"/>
          <w:szCs w:val="24"/>
          <w:lang w:val="lv-LV" w:eastAsia="en-GB"/>
        </w:rPr>
        <w:br/>
        <w:t>noteikumiem Nr. 298</w:t>
      </w:r>
    </w:p>
    <w:p w14:paraId="3FA3419D" w14:textId="77777777" w:rsidR="00B80447" w:rsidRPr="00B80447" w:rsidRDefault="00B80447" w:rsidP="00B80447">
      <w:pPr>
        <w:suppressAutoHyphens/>
        <w:spacing w:before="130" w:after="0" w:line="260" w:lineRule="atLeast"/>
        <w:ind w:firstLine="539"/>
        <w:jc w:val="right"/>
        <w:rPr>
          <w:rFonts w:ascii="Cambria" w:eastAsia="Times New Roman" w:hAnsi="Cambria"/>
          <w:sz w:val="19"/>
          <w:szCs w:val="24"/>
          <w:lang w:val="lv-LV" w:eastAsia="en-GB"/>
        </w:rPr>
      </w:pPr>
      <w:r w:rsidRPr="00B80447">
        <w:rPr>
          <w:rFonts w:ascii="Cambria" w:eastAsia="Times New Roman" w:hAnsi="Cambria"/>
          <w:sz w:val="19"/>
          <w:szCs w:val="24"/>
          <w:lang w:val="lv-LV" w:eastAsia="en-GB"/>
        </w:rPr>
        <w:t>"2. pielikums</w:t>
      </w:r>
      <w:r w:rsidRPr="00B80447">
        <w:rPr>
          <w:rFonts w:ascii="Cambria" w:eastAsia="Times New Roman" w:hAnsi="Cambria"/>
          <w:sz w:val="19"/>
          <w:szCs w:val="24"/>
          <w:lang w:val="lv-LV" w:eastAsia="en-GB"/>
        </w:rPr>
        <w:br/>
        <w:t>Ministru kabineta</w:t>
      </w:r>
      <w:r w:rsidRPr="00B80447">
        <w:rPr>
          <w:rFonts w:ascii="Cambria" w:eastAsia="Times New Roman" w:hAnsi="Cambria"/>
          <w:sz w:val="19"/>
          <w:szCs w:val="24"/>
          <w:lang w:val="lv-LV" w:eastAsia="en-GB"/>
        </w:rPr>
        <w:br/>
        <w:t>2012. gada 24. janvāra</w:t>
      </w:r>
      <w:r w:rsidRPr="00B80447">
        <w:rPr>
          <w:rFonts w:ascii="Cambria" w:eastAsia="Times New Roman" w:hAnsi="Cambria"/>
          <w:sz w:val="19"/>
          <w:szCs w:val="24"/>
          <w:lang w:val="lv-LV" w:eastAsia="en-GB"/>
        </w:rPr>
        <w:br/>
        <w:t>noteikumiem Nr. 68</w:t>
      </w:r>
    </w:p>
    <w:p w14:paraId="751905AA" w14:textId="77777777" w:rsidR="00B80447" w:rsidRPr="00B80447" w:rsidRDefault="00B80447" w:rsidP="00B80447">
      <w:pPr>
        <w:suppressAutoHyphens/>
        <w:spacing w:before="360" w:after="0" w:line="240" w:lineRule="auto"/>
        <w:ind w:left="567" w:right="567"/>
        <w:jc w:val="center"/>
        <w:rPr>
          <w:rFonts w:ascii="Cambria" w:eastAsia="Times New Roman" w:hAnsi="Cambria"/>
          <w:b/>
          <w:bCs/>
          <w:szCs w:val="24"/>
          <w:lang w:val="lv-LV" w:eastAsia="en-GB"/>
        </w:rPr>
      </w:pPr>
      <w:r w:rsidRPr="00B80447">
        <w:rPr>
          <w:rFonts w:ascii="Cambria" w:eastAsia="Times New Roman" w:hAnsi="Cambria"/>
          <w:b/>
          <w:bCs/>
          <w:szCs w:val="24"/>
          <w:lang w:val="lv-LV" w:eastAsia="en-GB"/>
        </w:rPr>
        <w:t>Stipendijas vērtēšanas kritēriji</w:t>
      </w:r>
    </w:p>
    <w:p w14:paraId="5BFB3E98" w14:textId="77777777" w:rsidR="00B80447" w:rsidRPr="00B80447" w:rsidRDefault="00B80447" w:rsidP="00B80447">
      <w:pPr>
        <w:suppressAutoHyphens/>
        <w:spacing w:before="130" w:after="0" w:line="260" w:lineRule="atLeast"/>
        <w:ind w:firstLine="539"/>
        <w:jc w:val="center"/>
        <w:rPr>
          <w:rFonts w:ascii="Cambria" w:eastAsia="Times New Roman" w:hAnsi="Cambria"/>
          <w:b/>
          <w:bCs/>
          <w:sz w:val="19"/>
          <w:szCs w:val="24"/>
          <w:lang w:val="lv-LV" w:eastAsia="en-GB"/>
        </w:rPr>
      </w:pPr>
    </w:p>
    <w:p w14:paraId="509D4687" w14:textId="77777777" w:rsidR="00B80447" w:rsidRPr="00B80447" w:rsidRDefault="00B80447" w:rsidP="00B80447">
      <w:pPr>
        <w:suppressAutoHyphens/>
        <w:spacing w:before="130" w:after="120" w:line="260" w:lineRule="atLeast"/>
        <w:jc w:val="center"/>
        <w:rPr>
          <w:rFonts w:ascii="Cambria" w:eastAsia="Times New Roman" w:hAnsi="Cambria"/>
          <w:sz w:val="19"/>
          <w:szCs w:val="24"/>
          <w:lang w:val="lv-LV" w:eastAsia="en-GB"/>
        </w:rPr>
      </w:pPr>
      <w:r w:rsidRPr="00B80447">
        <w:rPr>
          <w:rFonts w:ascii="Cambria" w:eastAsia="Times New Roman" w:hAnsi="Cambria"/>
          <w:b/>
          <w:bCs/>
          <w:sz w:val="19"/>
          <w:szCs w:val="24"/>
          <w:lang w:val="lv-LV" w:eastAsia="en-GB"/>
        </w:rPr>
        <w:t>1. Administratīvā vērtēšana</w:t>
      </w:r>
    </w:p>
    <w:tbl>
      <w:tblPr>
        <w:tblW w:w="5000" w:type="pct"/>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CellMar>
          <w:top w:w="28" w:type="dxa"/>
          <w:left w:w="28" w:type="dxa"/>
          <w:bottom w:w="28" w:type="dxa"/>
          <w:right w:w="28" w:type="dxa"/>
        </w:tblCellMar>
        <w:tblLook w:val="04A0" w:firstRow="1" w:lastRow="0" w:firstColumn="1" w:lastColumn="0" w:noHBand="0" w:noVBand="1"/>
      </w:tblPr>
      <w:tblGrid>
        <w:gridCol w:w="734"/>
        <w:gridCol w:w="7202"/>
        <w:gridCol w:w="1579"/>
      </w:tblGrid>
      <w:tr w:rsidR="00B80447" w:rsidRPr="00B80447" w14:paraId="6B30C1E1" w14:textId="77777777" w:rsidTr="00C54300">
        <w:tc>
          <w:tcPr>
            <w:tcW w:w="737" w:type="dxa"/>
            <w:vAlign w:val="center"/>
            <w:hideMark/>
          </w:tcPr>
          <w:p w14:paraId="3CA785CE"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Nr.</w:t>
            </w:r>
          </w:p>
          <w:p w14:paraId="01C504BC"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p. k.</w:t>
            </w:r>
          </w:p>
        </w:tc>
        <w:tc>
          <w:tcPr>
            <w:tcW w:w="7258" w:type="dxa"/>
            <w:vAlign w:val="center"/>
            <w:hideMark/>
          </w:tcPr>
          <w:p w14:paraId="7E534C0D"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Administratīvās vērtēšanas kritēriji</w:t>
            </w:r>
          </w:p>
        </w:tc>
        <w:tc>
          <w:tcPr>
            <w:tcW w:w="1586" w:type="dxa"/>
            <w:vAlign w:val="center"/>
            <w:hideMark/>
          </w:tcPr>
          <w:p w14:paraId="5C9991EC"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Vērtējums</w:t>
            </w:r>
          </w:p>
          <w:p w14:paraId="0A7FFD9A"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Jā/nē</w:t>
            </w:r>
          </w:p>
        </w:tc>
      </w:tr>
      <w:tr w:rsidR="00B80447" w:rsidRPr="00B80447" w14:paraId="143A39BD" w14:textId="77777777" w:rsidTr="00C54300">
        <w:tc>
          <w:tcPr>
            <w:tcW w:w="737" w:type="dxa"/>
            <w:vAlign w:val="center"/>
            <w:hideMark/>
          </w:tcPr>
          <w:p w14:paraId="488AB2C6"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1.1.</w:t>
            </w:r>
          </w:p>
        </w:tc>
        <w:tc>
          <w:tcPr>
            <w:tcW w:w="7258" w:type="dxa"/>
            <w:vAlign w:val="center"/>
            <w:hideMark/>
          </w:tcPr>
          <w:p w14:paraId="0BF92E46" w14:textId="77777777" w:rsidR="00B80447" w:rsidRPr="00B80447" w:rsidRDefault="00B80447" w:rsidP="00C54300">
            <w:pPr>
              <w:suppressAutoHyphens/>
              <w:spacing w:after="0" w:line="240" w:lineRule="auto"/>
              <w:rPr>
                <w:rFonts w:ascii="Cambria" w:eastAsia="Times New Roman" w:hAnsi="Cambria"/>
                <w:sz w:val="19"/>
                <w:szCs w:val="24"/>
                <w:lang w:val="lv-LV" w:eastAsia="en-GB"/>
              </w:rPr>
            </w:pPr>
            <w:r w:rsidRPr="00B80447">
              <w:rPr>
                <w:rFonts w:ascii="Cambria" w:eastAsia="Times New Roman" w:hAnsi="Cambria"/>
                <w:sz w:val="19"/>
                <w:szCs w:val="24"/>
                <w:lang w:val="lv-LV" w:eastAsia="en-GB"/>
              </w:rPr>
              <w:t>Iesnieguma iesniedzējs ir tās valsts iedzīvotājs, kas ir Izglītības un zinātnes ministrijas apstiprinātajā sarakstā (Ministru kabineta 2012. gada 24. janvāra noteikumu Nr. 68 "Stipendiju piešķiršanas kārtība ārzemniekiem" 2. punkts )</w:t>
            </w:r>
          </w:p>
        </w:tc>
        <w:tc>
          <w:tcPr>
            <w:tcW w:w="1586" w:type="dxa"/>
            <w:vAlign w:val="center"/>
            <w:hideMark/>
          </w:tcPr>
          <w:p w14:paraId="7170ECD2" w14:textId="77777777" w:rsidR="00B80447" w:rsidRPr="00B80447" w:rsidRDefault="00B80447" w:rsidP="00C54300">
            <w:pPr>
              <w:suppressAutoHyphens/>
              <w:spacing w:after="0" w:line="240" w:lineRule="auto"/>
              <w:rPr>
                <w:rFonts w:ascii="Cambria" w:eastAsia="Times New Roman" w:hAnsi="Cambria"/>
                <w:sz w:val="19"/>
                <w:szCs w:val="24"/>
                <w:lang w:val="lv-LV" w:eastAsia="en-GB"/>
              </w:rPr>
            </w:pPr>
            <w:r w:rsidRPr="00B80447">
              <w:rPr>
                <w:rFonts w:ascii="Cambria" w:eastAsia="Times New Roman" w:hAnsi="Cambria"/>
                <w:sz w:val="19"/>
                <w:szCs w:val="24"/>
                <w:lang w:val="lv-LV" w:eastAsia="en-GB"/>
              </w:rPr>
              <w:t> </w:t>
            </w:r>
          </w:p>
        </w:tc>
      </w:tr>
      <w:tr w:rsidR="00B80447" w:rsidRPr="00B80447" w14:paraId="00FF0FAD" w14:textId="77777777" w:rsidTr="00C54300">
        <w:tc>
          <w:tcPr>
            <w:tcW w:w="737" w:type="dxa"/>
            <w:vAlign w:val="center"/>
            <w:hideMark/>
          </w:tcPr>
          <w:p w14:paraId="18C5CE78"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1.2.</w:t>
            </w:r>
          </w:p>
        </w:tc>
        <w:tc>
          <w:tcPr>
            <w:tcW w:w="7258" w:type="dxa"/>
            <w:vAlign w:val="center"/>
            <w:hideMark/>
          </w:tcPr>
          <w:p w14:paraId="778E9E04" w14:textId="77777777" w:rsidR="00B80447" w:rsidRPr="00B80447" w:rsidRDefault="00B80447" w:rsidP="00C54300">
            <w:pPr>
              <w:suppressAutoHyphens/>
              <w:spacing w:after="0" w:line="240" w:lineRule="auto"/>
              <w:rPr>
                <w:rFonts w:ascii="Cambria" w:eastAsia="Times New Roman" w:hAnsi="Cambria"/>
                <w:sz w:val="19"/>
                <w:szCs w:val="24"/>
                <w:lang w:val="lv-LV" w:eastAsia="en-GB"/>
              </w:rPr>
            </w:pPr>
            <w:r w:rsidRPr="00B80447">
              <w:rPr>
                <w:rFonts w:ascii="Cambria" w:eastAsia="Times New Roman" w:hAnsi="Cambria"/>
                <w:sz w:val="19"/>
                <w:szCs w:val="24"/>
                <w:lang w:val="lv-LV" w:eastAsia="en-GB"/>
              </w:rPr>
              <w:t>Ārzemnieks ir iesniedzis tikai vienu iesniegumu</w:t>
            </w:r>
          </w:p>
        </w:tc>
        <w:tc>
          <w:tcPr>
            <w:tcW w:w="1586" w:type="dxa"/>
            <w:vAlign w:val="center"/>
            <w:hideMark/>
          </w:tcPr>
          <w:p w14:paraId="35510A25" w14:textId="77777777" w:rsidR="00B80447" w:rsidRPr="00B80447" w:rsidRDefault="00B80447" w:rsidP="00C54300">
            <w:pPr>
              <w:suppressAutoHyphens/>
              <w:spacing w:after="0" w:line="240" w:lineRule="auto"/>
              <w:rPr>
                <w:rFonts w:ascii="Cambria" w:eastAsia="Times New Roman" w:hAnsi="Cambria"/>
                <w:sz w:val="19"/>
                <w:szCs w:val="24"/>
                <w:lang w:val="lv-LV" w:eastAsia="en-GB"/>
              </w:rPr>
            </w:pPr>
            <w:r w:rsidRPr="00B80447">
              <w:rPr>
                <w:rFonts w:ascii="Cambria" w:eastAsia="Times New Roman" w:hAnsi="Cambria"/>
                <w:sz w:val="19"/>
                <w:szCs w:val="24"/>
                <w:lang w:val="lv-LV" w:eastAsia="en-GB"/>
              </w:rPr>
              <w:t> </w:t>
            </w:r>
          </w:p>
        </w:tc>
      </w:tr>
      <w:tr w:rsidR="00B80447" w:rsidRPr="00B80447" w14:paraId="418D3E18" w14:textId="77777777" w:rsidTr="00C54300">
        <w:tc>
          <w:tcPr>
            <w:tcW w:w="737" w:type="dxa"/>
            <w:vAlign w:val="center"/>
            <w:hideMark/>
          </w:tcPr>
          <w:p w14:paraId="54091858"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1.3.</w:t>
            </w:r>
          </w:p>
        </w:tc>
        <w:tc>
          <w:tcPr>
            <w:tcW w:w="7258" w:type="dxa"/>
            <w:vAlign w:val="center"/>
            <w:hideMark/>
          </w:tcPr>
          <w:p w14:paraId="7BF7C028" w14:textId="77777777" w:rsidR="00B80447" w:rsidRPr="00B80447" w:rsidRDefault="00B80447" w:rsidP="00C54300">
            <w:pPr>
              <w:suppressAutoHyphens/>
              <w:spacing w:after="0" w:line="240" w:lineRule="auto"/>
              <w:rPr>
                <w:rFonts w:ascii="Cambria" w:eastAsia="Times New Roman" w:hAnsi="Cambria"/>
                <w:sz w:val="19"/>
                <w:szCs w:val="24"/>
                <w:lang w:val="lv-LV" w:eastAsia="en-GB"/>
              </w:rPr>
            </w:pPr>
            <w:r w:rsidRPr="00B80447">
              <w:rPr>
                <w:rFonts w:ascii="Cambria" w:eastAsia="Times New Roman" w:hAnsi="Cambria"/>
                <w:sz w:val="19"/>
                <w:szCs w:val="24"/>
                <w:lang w:val="lv-LV" w:eastAsia="en-GB"/>
              </w:rPr>
              <w:t>Līdz pieteikuma iesniegšanas dienai ārzemnieks nav saņēmis Latvijas valsts stipendiju divus termiņus</w:t>
            </w:r>
          </w:p>
        </w:tc>
        <w:tc>
          <w:tcPr>
            <w:tcW w:w="1586" w:type="dxa"/>
            <w:vAlign w:val="center"/>
            <w:hideMark/>
          </w:tcPr>
          <w:p w14:paraId="6A93C22E" w14:textId="77777777" w:rsidR="00B80447" w:rsidRPr="00B80447" w:rsidRDefault="00B80447" w:rsidP="00C54300">
            <w:pPr>
              <w:suppressAutoHyphens/>
              <w:spacing w:after="0" w:line="240" w:lineRule="auto"/>
              <w:rPr>
                <w:rFonts w:ascii="Cambria" w:eastAsia="Times New Roman" w:hAnsi="Cambria"/>
                <w:sz w:val="19"/>
                <w:szCs w:val="24"/>
                <w:lang w:val="lv-LV" w:eastAsia="en-GB"/>
              </w:rPr>
            </w:pPr>
            <w:r w:rsidRPr="00B80447">
              <w:rPr>
                <w:rFonts w:ascii="Cambria" w:eastAsia="Times New Roman" w:hAnsi="Cambria"/>
                <w:sz w:val="19"/>
                <w:szCs w:val="24"/>
                <w:lang w:val="lv-LV" w:eastAsia="en-GB"/>
              </w:rPr>
              <w:t> </w:t>
            </w:r>
          </w:p>
        </w:tc>
      </w:tr>
      <w:tr w:rsidR="00B80447" w:rsidRPr="00B80447" w14:paraId="70FE761D" w14:textId="77777777" w:rsidTr="00C54300">
        <w:tc>
          <w:tcPr>
            <w:tcW w:w="737" w:type="dxa"/>
            <w:vAlign w:val="center"/>
            <w:hideMark/>
          </w:tcPr>
          <w:p w14:paraId="62940153"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1.4.</w:t>
            </w:r>
          </w:p>
        </w:tc>
        <w:tc>
          <w:tcPr>
            <w:tcW w:w="7258" w:type="dxa"/>
            <w:vAlign w:val="center"/>
            <w:hideMark/>
          </w:tcPr>
          <w:p w14:paraId="6303A87D" w14:textId="77777777" w:rsidR="00B80447" w:rsidRPr="00B80447" w:rsidRDefault="00B80447" w:rsidP="00C54300">
            <w:pPr>
              <w:suppressAutoHyphens/>
              <w:spacing w:after="0" w:line="240" w:lineRule="auto"/>
              <w:rPr>
                <w:rFonts w:ascii="Cambria" w:eastAsia="Times New Roman" w:hAnsi="Cambria"/>
                <w:sz w:val="19"/>
                <w:szCs w:val="24"/>
                <w:lang w:val="lv-LV" w:eastAsia="en-GB"/>
              </w:rPr>
            </w:pPr>
            <w:r w:rsidRPr="00B80447">
              <w:rPr>
                <w:rFonts w:ascii="Cambria" w:eastAsia="Times New Roman" w:hAnsi="Cambria"/>
                <w:sz w:val="19"/>
                <w:szCs w:val="24"/>
                <w:lang w:val="lv-LV" w:eastAsia="en-GB"/>
              </w:rPr>
              <w:t>Visi Ministru kabineta 2012. gada 24. janvāra noteikumu Nr. 68 "Stipendiju piešķiršanas kārtība ārzemniekiem" 12. punktā minētie dokumenti ir iesniegti. Visi iesniegtie dokumenti ir atbilstoši noformēti (visi iesniegumam pievienotie dokumenti ir latviešu vai angļu valodā, tie ir iesniegti atbilstoši Ministru kabineta 2012. gada 24. janvāra noteikumu Nr. 68 "Stipendiju piešķiršanas kārtība ārzemniekiem" 15. punkta prasībām)</w:t>
            </w:r>
          </w:p>
        </w:tc>
        <w:tc>
          <w:tcPr>
            <w:tcW w:w="1586" w:type="dxa"/>
            <w:vAlign w:val="center"/>
            <w:hideMark/>
          </w:tcPr>
          <w:p w14:paraId="1E63AD5C" w14:textId="77777777" w:rsidR="00B80447" w:rsidRPr="00B80447" w:rsidRDefault="00B80447" w:rsidP="00C54300">
            <w:pPr>
              <w:suppressAutoHyphens/>
              <w:spacing w:after="0" w:line="240" w:lineRule="auto"/>
              <w:rPr>
                <w:rFonts w:ascii="Cambria" w:eastAsia="Times New Roman" w:hAnsi="Cambria"/>
                <w:sz w:val="19"/>
                <w:szCs w:val="24"/>
                <w:lang w:val="lv-LV" w:eastAsia="en-GB"/>
              </w:rPr>
            </w:pPr>
            <w:r w:rsidRPr="00B80447">
              <w:rPr>
                <w:rFonts w:ascii="Cambria" w:eastAsia="Times New Roman" w:hAnsi="Cambria"/>
                <w:sz w:val="19"/>
                <w:szCs w:val="24"/>
                <w:lang w:val="lv-LV" w:eastAsia="en-GB"/>
              </w:rPr>
              <w:t> </w:t>
            </w:r>
          </w:p>
        </w:tc>
      </w:tr>
      <w:tr w:rsidR="00B80447" w:rsidRPr="00B80447" w14:paraId="16749A03" w14:textId="77777777" w:rsidTr="00C54300">
        <w:tc>
          <w:tcPr>
            <w:tcW w:w="737" w:type="dxa"/>
            <w:vAlign w:val="center"/>
            <w:hideMark/>
          </w:tcPr>
          <w:p w14:paraId="6D06329D"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1.5.</w:t>
            </w:r>
          </w:p>
        </w:tc>
        <w:tc>
          <w:tcPr>
            <w:tcW w:w="7258" w:type="dxa"/>
            <w:vAlign w:val="center"/>
            <w:hideMark/>
          </w:tcPr>
          <w:p w14:paraId="21D0A972" w14:textId="77777777" w:rsidR="00B80447" w:rsidRPr="00B80447" w:rsidRDefault="00B80447" w:rsidP="00C54300">
            <w:pPr>
              <w:suppressAutoHyphens/>
              <w:spacing w:after="0" w:line="240" w:lineRule="auto"/>
              <w:rPr>
                <w:rFonts w:ascii="Cambria" w:eastAsia="Times New Roman" w:hAnsi="Cambria"/>
                <w:sz w:val="19"/>
                <w:szCs w:val="24"/>
                <w:lang w:val="lv-LV" w:eastAsia="en-GB"/>
              </w:rPr>
            </w:pPr>
            <w:r w:rsidRPr="00B80447">
              <w:rPr>
                <w:rFonts w:ascii="Cambria" w:eastAsia="Times New Roman" w:hAnsi="Cambria"/>
                <w:sz w:val="19"/>
                <w:szCs w:val="24"/>
                <w:lang w:val="lv-LV" w:eastAsia="en-GB"/>
              </w:rPr>
              <w:t>Ārzemnieks iepriekšējās studijās vai studiju periodā ir izpildījis akadēmiskās saistības</w:t>
            </w:r>
          </w:p>
        </w:tc>
        <w:tc>
          <w:tcPr>
            <w:tcW w:w="1586" w:type="dxa"/>
            <w:vAlign w:val="center"/>
            <w:hideMark/>
          </w:tcPr>
          <w:p w14:paraId="5D01505B" w14:textId="77777777" w:rsidR="00B80447" w:rsidRPr="00B80447" w:rsidRDefault="00B80447" w:rsidP="00C54300">
            <w:pPr>
              <w:suppressAutoHyphens/>
              <w:spacing w:after="0" w:line="240" w:lineRule="auto"/>
              <w:rPr>
                <w:rFonts w:ascii="Cambria" w:eastAsia="Times New Roman" w:hAnsi="Cambria"/>
                <w:sz w:val="19"/>
                <w:szCs w:val="24"/>
                <w:lang w:val="lv-LV" w:eastAsia="en-GB"/>
              </w:rPr>
            </w:pPr>
            <w:r w:rsidRPr="00B80447">
              <w:rPr>
                <w:rFonts w:ascii="Cambria" w:eastAsia="Times New Roman" w:hAnsi="Cambria"/>
                <w:sz w:val="19"/>
                <w:szCs w:val="24"/>
                <w:lang w:val="lv-LV" w:eastAsia="en-GB"/>
              </w:rPr>
              <w:t> </w:t>
            </w:r>
          </w:p>
        </w:tc>
      </w:tr>
    </w:tbl>
    <w:p w14:paraId="12452E99" w14:textId="77777777" w:rsidR="00B80447" w:rsidRPr="00B80447" w:rsidRDefault="00B80447" w:rsidP="00B80447">
      <w:pPr>
        <w:suppressAutoHyphens/>
        <w:spacing w:before="130" w:after="120" w:line="260" w:lineRule="atLeast"/>
        <w:jc w:val="center"/>
        <w:rPr>
          <w:rFonts w:ascii="Cambria" w:eastAsia="Times New Roman" w:hAnsi="Cambria"/>
          <w:sz w:val="19"/>
          <w:szCs w:val="24"/>
          <w:lang w:val="lv-LV" w:eastAsia="en-GB"/>
        </w:rPr>
      </w:pPr>
      <w:r w:rsidRPr="00B80447">
        <w:rPr>
          <w:rFonts w:ascii="Cambria" w:eastAsia="Times New Roman" w:hAnsi="Cambria"/>
          <w:b/>
          <w:bCs/>
          <w:sz w:val="19"/>
          <w:szCs w:val="24"/>
          <w:lang w:val="lv-LV" w:eastAsia="en-GB"/>
        </w:rPr>
        <w:t>2. Kvalitātes vērtēšana</w:t>
      </w:r>
    </w:p>
    <w:tbl>
      <w:tblPr>
        <w:tblW w:w="5000" w:type="pct"/>
        <w:tblBorders>
          <w:top w:val="single" w:sz="4" w:space="0" w:color="414142"/>
          <w:left w:val="single" w:sz="4" w:space="0" w:color="414142"/>
          <w:bottom w:val="single" w:sz="4" w:space="0" w:color="414142"/>
          <w:right w:val="single" w:sz="4" w:space="0" w:color="414142"/>
          <w:insideH w:val="single" w:sz="4" w:space="0" w:color="414142"/>
          <w:insideV w:val="single" w:sz="4" w:space="0" w:color="414142"/>
        </w:tblBorders>
        <w:tblCellMar>
          <w:top w:w="28" w:type="dxa"/>
          <w:left w:w="28" w:type="dxa"/>
          <w:bottom w:w="28" w:type="dxa"/>
          <w:right w:w="28" w:type="dxa"/>
        </w:tblCellMar>
        <w:tblLook w:val="04A0" w:firstRow="1" w:lastRow="0" w:firstColumn="1" w:lastColumn="0" w:noHBand="0" w:noVBand="1"/>
      </w:tblPr>
      <w:tblGrid>
        <w:gridCol w:w="732"/>
        <w:gridCol w:w="5795"/>
        <w:gridCol w:w="1353"/>
        <w:gridCol w:w="1635"/>
      </w:tblGrid>
      <w:tr w:rsidR="00B80447" w:rsidRPr="00B80447" w14:paraId="6E696924" w14:textId="77777777" w:rsidTr="00C54300">
        <w:tc>
          <w:tcPr>
            <w:tcW w:w="737" w:type="dxa"/>
            <w:vAlign w:val="center"/>
            <w:hideMark/>
          </w:tcPr>
          <w:p w14:paraId="03195E54"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Nr.</w:t>
            </w:r>
          </w:p>
          <w:p w14:paraId="7F447F93"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p. k.</w:t>
            </w:r>
          </w:p>
        </w:tc>
        <w:tc>
          <w:tcPr>
            <w:tcW w:w="5846" w:type="dxa"/>
            <w:vAlign w:val="center"/>
            <w:hideMark/>
          </w:tcPr>
          <w:p w14:paraId="01DF1A0D"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Kvalitātes vērtēšanas kritēriji</w:t>
            </w:r>
          </w:p>
        </w:tc>
        <w:tc>
          <w:tcPr>
            <w:tcW w:w="1357" w:type="dxa"/>
            <w:vAlign w:val="center"/>
            <w:hideMark/>
          </w:tcPr>
          <w:p w14:paraId="66F721A3"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Vērtējums*</w:t>
            </w:r>
          </w:p>
        </w:tc>
        <w:tc>
          <w:tcPr>
            <w:tcW w:w="1641" w:type="dxa"/>
            <w:vAlign w:val="center"/>
            <w:hideMark/>
          </w:tcPr>
          <w:p w14:paraId="31D25DE8"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Maksimālais punktu skaits</w:t>
            </w:r>
          </w:p>
        </w:tc>
      </w:tr>
      <w:tr w:rsidR="00B80447" w:rsidRPr="00B80447" w14:paraId="18D28F62" w14:textId="77777777" w:rsidTr="00C54300">
        <w:tc>
          <w:tcPr>
            <w:tcW w:w="737" w:type="dxa"/>
            <w:vAlign w:val="center"/>
            <w:hideMark/>
          </w:tcPr>
          <w:p w14:paraId="5CF37E71"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2.1.</w:t>
            </w:r>
          </w:p>
        </w:tc>
        <w:tc>
          <w:tcPr>
            <w:tcW w:w="5846" w:type="dxa"/>
            <w:vAlign w:val="center"/>
            <w:hideMark/>
          </w:tcPr>
          <w:p w14:paraId="04469257" w14:textId="77777777" w:rsidR="00B80447" w:rsidRPr="00B80447" w:rsidRDefault="00B80447" w:rsidP="00C54300">
            <w:pPr>
              <w:suppressAutoHyphens/>
              <w:spacing w:after="0" w:line="240" w:lineRule="auto"/>
              <w:rPr>
                <w:rFonts w:ascii="Cambria" w:eastAsia="Times New Roman" w:hAnsi="Cambria"/>
                <w:sz w:val="19"/>
                <w:szCs w:val="24"/>
                <w:lang w:val="lv-LV" w:eastAsia="en-GB"/>
              </w:rPr>
            </w:pPr>
            <w:r w:rsidRPr="00B80447">
              <w:rPr>
                <w:rFonts w:ascii="Cambria" w:eastAsia="Times New Roman" w:hAnsi="Cambria"/>
                <w:sz w:val="19"/>
                <w:szCs w:val="24"/>
                <w:lang w:val="lv-LV" w:eastAsia="en-GB"/>
              </w:rPr>
              <w:t>Ārzemnieka sekmes pēdējos divos semestros, skaitot no pēdējā, vai atbilstoši diplomam**</w:t>
            </w:r>
          </w:p>
        </w:tc>
        <w:tc>
          <w:tcPr>
            <w:tcW w:w="1357" w:type="dxa"/>
            <w:vAlign w:val="center"/>
            <w:hideMark/>
          </w:tcPr>
          <w:p w14:paraId="2268CC8E" w14:textId="77777777" w:rsidR="00B80447" w:rsidRPr="00B80447" w:rsidRDefault="00B80447" w:rsidP="00C54300">
            <w:pPr>
              <w:suppressAutoHyphens/>
              <w:spacing w:after="0" w:line="240" w:lineRule="auto"/>
              <w:rPr>
                <w:rFonts w:ascii="Cambria" w:eastAsia="Times New Roman" w:hAnsi="Cambria"/>
                <w:sz w:val="19"/>
                <w:szCs w:val="24"/>
                <w:lang w:val="lv-LV" w:eastAsia="en-GB"/>
              </w:rPr>
            </w:pPr>
            <w:r w:rsidRPr="00B80447">
              <w:rPr>
                <w:rFonts w:ascii="Cambria" w:eastAsia="Times New Roman" w:hAnsi="Cambria"/>
                <w:sz w:val="19"/>
                <w:szCs w:val="24"/>
                <w:lang w:val="lv-LV" w:eastAsia="en-GB"/>
              </w:rPr>
              <w:t> </w:t>
            </w:r>
          </w:p>
        </w:tc>
        <w:tc>
          <w:tcPr>
            <w:tcW w:w="1641" w:type="dxa"/>
            <w:vAlign w:val="center"/>
            <w:hideMark/>
          </w:tcPr>
          <w:p w14:paraId="297C18DD"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5</w:t>
            </w:r>
          </w:p>
        </w:tc>
      </w:tr>
      <w:tr w:rsidR="00B80447" w:rsidRPr="00B80447" w14:paraId="50F04CAA" w14:textId="77777777" w:rsidTr="00C54300">
        <w:tc>
          <w:tcPr>
            <w:tcW w:w="737" w:type="dxa"/>
            <w:vAlign w:val="center"/>
            <w:hideMark/>
          </w:tcPr>
          <w:p w14:paraId="60D365D0"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2.2.</w:t>
            </w:r>
          </w:p>
        </w:tc>
        <w:tc>
          <w:tcPr>
            <w:tcW w:w="5846" w:type="dxa"/>
            <w:vAlign w:val="center"/>
            <w:hideMark/>
          </w:tcPr>
          <w:p w14:paraId="28F5B3C8" w14:textId="77777777" w:rsidR="00B80447" w:rsidRPr="00B80447" w:rsidRDefault="00B80447" w:rsidP="00C54300">
            <w:pPr>
              <w:suppressAutoHyphens/>
              <w:spacing w:after="0" w:line="240" w:lineRule="auto"/>
              <w:rPr>
                <w:rFonts w:ascii="Cambria" w:eastAsia="Times New Roman" w:hAnsi="Cambria"/>
                <w:sz w:val="19"/>
                <w:szCs w:val="24"/>
                <w:lang w:val="lv-LV" w:eastAsia="en-GB"/>
              </w:rPr>
            </w:pPr>
            <w:r w:rsidRPr="00B80447">
              <w:rPr>
                <w:rFonts w:ascii="Cambria" w:eastAsia="Times New Roman" w:hAnsi="Cambria"/>
                <w:sz w:val="19"/>
                <w:szCs w:val="24"/>
                <w:lang w:val="lv-LV" w:eastAsia="en-GB"/>
              </w:rPr>
              <w:t>Pamatojums, kā izvēlētās studijas Latvijā uzlabos ārzemnieka zināšanas un pilnveidos profesionālās prasmes, tai skaitā motivācija studēt Latvijā</w:t>
            </w:r>
          </w:p>
        </w:tc>
        <w:tc>
          <w:tcPr>
            <w:tcW w:w="1357" w:type="dxa"/>
            <w:vAlign w:val="center"/>
            <w:hideMark/>
          </w:tcPr>
          <w:p w14:paraId="74FEC39D" w14:textId="77777777" w:rsidR="00B80447" w:rsidRPr="00B80447" w:rsidRDefault="00B80447" w:rsidP="00C54300">
            <w:pPr>
              <w:suppressAutoHyphens/>
              <w:spacing w:after="0" w:line="240" w:lineRule="auto"/>
              <w:rPr>
                <w:rFonts w:ascii="Cambria" w:eastAsia="Times New Roman" w:hAnsi="Cambria"/>
                <w:sz w:val="19"/>
                <w:szCs w:val="24"/>
                <w:lang w:val="lv-LV" w:eastAsia="en-GB"/>
              </w:rPr>
            </w:pPr>
            <w:r w:rsidRPr="00B80447">
              <w:rPr>
                <w:rFonts w:ascii="Cambria" w:eastAsia="Times New Roman" w:hAnsi="Cambria"/>
                <w:sz w:val="19"/>
                <w:szCs w:val="24"/>
                <w:lang w:val="lv-LV" w:eastAsia="en-GB"/>
              </w:rPr>
              <w:t> </w:t>
            </w:r>
          </w:p>
        </w:tc>
        <w:tc>
          <w:tcPr>
            <w:tcW w:w="1641" w:type="dxa"/>
            <w:vAlign w:val="center"/>
            <w:hideMark/>
          </w:tcPr>
          <w:p w14:paraId="6CA35492"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5</w:t>
            </w:r>
          </w:p>
        </w:tc>
      </w:tr>
      <w:tr w:rsidR="00B80447" w:rsidRPr="00B80447" w14:paraId="28025576" w14:textId="77777777" w:rsidTr="00C54300">
        <w:tc>
          <w:tcPr>
            <w:tcW w:w="737" w:type="dxa"/>
            <w:vAlign w:val="center"/>
            <w:hideMark/>
          </w:tcPr>
          <w:p w14:paraId="2DB9F7B1"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2.3.</w:t>
            </w:r>
          </w:p>
        </w:tc>
        <w:tc>
          <w:tcPr>
            <w:tcW w:w="5846" w:type="dxa"/>
            <w:vAlign w:val="center"/>
            <w:hideMark/>
          </w:tcPr>
          <w:p w14:paraId="52600449" w14:textId="77777777" w:rsidR="00B80447" w:rsidRPr="00B80447" w:rsidRDefault="00B80447" w:rsidP="00C54300">
            <w:pPr>
              <w:suppressAutoHyphens/>
              <w:spacing w:after="0" w:line="240" w:lineRule="auto"/>
              <w:rPr>
                <w:rFonts w:ascii="Cambria" w:eastAsia="Times New Roman" w:hAnsi="Cambria"/>
                <w:sz w:val="19"/>
                <w:szCs w:val="24"/>
                <w:lang w:val="lv-LV" w:eastAsia="en-GB"/>
              </w:rPr>
            </w:pPr>
            <w:proofErr w:type="spellStart"/>
            <w:r w:rsidRPr="00B80447">
              <w:rPr>
                <w:rFonts w:ascii="Cambria" w:eastAsia="Times New Roman" w:hAnsi="Cambria"/>
                <w:sz w:val="19"/>
                <w:szCs w:val="24"/>
                <w:lang w:val="lv-LV" w:eastAsia="en-GB"/>
              </w:rPr>
              <w:t>Ārpusstudiju</w:t>
            </w:r>
            <w:proofErr w:type="spellEnd"/>
            <w:r w:rsidRPr="00B80447">
              <w:rPr>
                <w:rFonts w:ascii="Cambria" w:eastAsia="Times New Roman" w:hAnsi="Cambria"/>
                <w:sz w:val="19"/>
                <w:szCs w:val="24"/>
                <w:lang w:val="lv-LV" w:eastAsia="en-GB"/>
              </w:rPr>
              <w:t xml:space="preserve"> darbība Latvijā un ārzemnieka valstī saistībā ar izvēlēto studiju jomu (piemēram, prakse profesionālajās organizācijās, dalība zinātniskajās konferencēs un starptautiskajos projektos)</w:t>
            </w:r>
          </w:p>
        </w:tc>
        <w:tc>
          <w:tcPr>
            <w:tcW w:w="1357" w:type="dxa"/>
            <w:vAlign w:val="center"/>
            <w:hideMark/>
          </w:tcPr>
          <w:p w14:paraId="48914D32" w14:textId="77777777" w:rsidR="00B80447" w:rsidRPr="00B80447" w:rsidRDefault="00B80447" w:rsidP="00C54300">
            <w:pPr>
              <w:suppressAutoHyphens/>
              <w:spacing w:after="0" w:line="240" w:lineRule="auto"/>
              <w:rPr>
                <w:rFonts w:ascii="Cambria" w:eastAsia="Times New Roman" w:hAnsi="Cambria"/>
                <w:sz w:val="19"/>
                <w:szCs w:val="24"/>
                <w:lang w:val="lv-LV" w:eastAsia="en-GB"/>
              </w:rPr>
            </w:pPr>
            <w:r w:rsidRPr="00B80447">
              <w:rPr>
                <w:rFonts w:ascii="Cambria" w:eastAsia="Times New Roman" w:hAnsi="Cambria"/>
                <w:sz w:val="19"/>
                <w:szCs w:val="24"/>
                <w:lang w:val="lv-LV" w:eastAsia="en-GB"/>
              </w:rPr>
              <w:t> </w:t>
            </w:r>
          </w:p>
        </w:tc>
        <w:tc>
          <w:tcPr>
            <w:tcW w:w="1641" w:type="dxa"/>
            <w:vAlign w:val="center"/>
            <w:hideMark/>
          </w:tcPr>
          <w:p w14:paraId="094B477E"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5</w:t>
            </w:r>
          </w:p>
        </w:tc>
      </w:tr>
      <w:tr w:rsidR="00B80447" w:rsidRPr="00B80447" w14:paraId="067ED79F" w14:textId="77777777" w:rsidTr="00C54300">
        <w:tc>
          <w:tcPr>
            <w:tcW w:w="737" w:type="dxa"/>
            <w:vAlign w:val="center"/>
            <w:hideMark/>
          </w:tcPr>
          <w:p w14:paraId="7C955B8B"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2.4.</w:t>
            </w:r>
          </w:p>
        </w:tc>
        <w:tc>
          <w:tcPr>
            <w:tcW w:w="5846" w:type="dxa"/>
            <w:vAlign w:val="center"/>
            <w:hideMark/>
          </w:tcPr>
          <w:p w14:paraId="08E5CEDF" w14:textId="77777777" w:rsidR="00B80447" w:rsidRPr="00B80447" w:rsidRDefault="00B80447" w:rsidP="00C54300">
            <w:pPr>
              <w:suppressAutoHyphens/>
              <w:spacing w:after="0" w:line="240" w:lineRule="auto"/>
              <w:rPr>
                <w:rFonts w:ascii="Cambria" w:eastAsia="Times New Roman" w:hAnsi="Cambria"/>
                <w:sz w:val="19"/>
                <w:szCs w:val="24"/>
                <w:lang w:val="lv-LV" w:eastAsia="en-GB"/>
              </w:rPr>
            </w:pPr>
            <w:r w:rsidRPr="00B80447">
              <w:rPr>
                <w:rFonts w:ascii="Cambria" w:eastAsia="Times New Roman" w:hAnsi="Cambria"/>
                <w:sz w:val="19"/>
                <w:szCs w:val="24"/>
                <w:lang w:val="lv-LV" w:eastAsia="en-GB"/>
              </w:rPr>
              <w:t>Ārzemnieks pārstāv valsti, kas nominēta atbilstoši Ministru kabineta 2012. gada 24. janvāra noteikumu Nr. 68 "Stipendiju piešķiršanas kārtība ārzemniekiem" 2.</w:t>
            </w:r>
            <w:r w:rsidRPr="00B80447">
              <w:rPr>
                <w:rFonts w:ascii="Cambria" w:eastAsia="Times New Roman" w:hAnsi="Cambria"/>
                <w:sz w:val="19"/>
                <w:szCs w:val="24"/>
                <w:vertAlign w:val="superscript"/>
                <w:lang w:val="lv-LV" w:eastAsia="en-GB"/>
              </w:rPr>
              <w:t>1</w:t>
            </w:r>
            <w:r w:rsidRPr="00B80447">
              <w:rPr>
                <w:rFonts w:ascii="Cambria" w:eastAsia="Times New Roman" w:hAnsi="Cambria"/>
                <w:sz w:val="19"/>
                <w:szCs w:val="24"/>
                <w:lang w:val="lv-LV" w:eastAsia="en-GB"/>
              </w:rPr>
              <w:t xml:space="preserve"> punktam</w:t>
            </w:r>
          </w:p>
        </w:tc>
        <w:tc>
          <w:tcPr>
            <w:tcW w:w="1357" w:type="dxa"/>
            <w:vAlign w:val="center"/>
            <w:hideMark/>
          </w:tcPr>
          <w:p w14:paraId="733DFFB9" w14:textId="77777777" w:rsidR="00B80447" w:rsidRPr="00B80447" w:rsidRDefault="00B80447" w:rsidP="00C54300">
            <w:pPr>
              <w:suppressAutoHyphens/>
              <w:spacing w:after="0" w:line="240" w:lineRule="auto"/>
              <w:rPr>
                <w:rFonts w:ascii="Cambria" w:eastAsia="Times New Roman" w:hAnsi="Cambria"/>
                <w:sz w:val="19"/>
                <w:szCs w:val="24"/>
                <w:lang w:val="lv-LV" w:eastAsia="en-GB"/>
              </w:rPr>
            </w:pPr>
            <w:r w:rsidRPr="00B80447">
              <w:rPr>
                <w:rFonts w:ascii="Cambria" w:eastAsia="Times New Roman" w:hAnsi="Cambria"/>
                <w:sz w:val="19"/>
                <w:szCs w:val="24"/>
                <w:lang w:val="lv-LV" w:eastAsia="en-GB"/>
              </w:rPr>
              <w:t> </w:t>
            </w:r>
          </w:p>
        </w:tc>
        <w:tc>
          <w:tcPr>
            <w:tcW w:w="1641" w:type="dxa"/>
            <w:vAlign w:val="center"/>
            <w:hideMark/>
          </w:tcPr>
          <w:p w14:paraId="2C885DAF"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1</w:t>
            </w:r>
          </w:p>
        </w:tc>
      </w:tr>
      <w:tr w:rsidR="00B80447" w:rsidRPr="00B80447" w14:paraId="2B272120" w14:textId="77777777" w:rsidTr="00C54300">
        <w:tc>
          <w:tcPr>
            <w:tcW w:w="737" w:type="dxa"/>
            <w:vAlign w:val="center"/>
            <w:hideMark/>
          </w:tcPr>
          <w:p w14:paraId="4B22A875"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2.5.</w:t>
            </w:r>
          </w:p>
        </w:tc>
        <w:tc>
          <w:tcPr>
            <w:tcW w:w="5846" w:type="dxa"/>
            <w:vAlign w:val="center"/>
            <w:hideMark/>
          </w:tcPr>
          <w:p w14:paraId="0BA5651A" w14:textId="77777777" w:rsidR="00B80447" w:rsidRPr="00B80447" w:rsidRDefault="00B80447" w:rsidP="00C54300">
            <w:pPr>
              <w:suppressAutoHyphens/>
              <w:spacing w:after="0" w:line="240" w:lineRule="auto"/>
              <w:rPr>
                <w:rFonts w:ascii="Cambria" w:eastAsia="Times New Roman" w:hAnsi="Cambria"/>
                <w:sz w:val="19"/>
                <w:szCs w:val="24"/>
                <w:lang w:val="lv-LV" w:eastAsia="en-GB"/>
              </w:rPr>
            </w:pPr>
            <w:r w:rsidRPr="00B80447">
              <w:rPr>
                <w:rFonts w:ascii="Cambria" w:eastAsia="Times New Roman" w:hAnsi="Cambria"/>
                <w:sz w:val="19"/>
                <w:szCs w:val="24"/>
                <w:lang w:val="lv-LV" w:eastAsia="en-GB"/>
              </w:rPr>
              <w:t>Ārzemnieks studē prioritāri atbalstāmā studiju programmā, kas noteikta atbilstoši Ministru kabineta 2012. gada 24. janvāra noteikumu Nr. 68 "Stipendiju piešķiršanas kārtība ārzemniekiem" 2.</w:t>
            </w:r>
            <w:r w:rsidRPr="00B80447">
              <w:rPr>
                <w:rFonts w:ascii="Cambria" w:eastAsia="Times New Roman" w:hAnsi="Cambria"/>
                <w:sz w:val="19"/>
                <w:szCs w:val="24"/>
                <w:vertAlign w:val="superscript"/>
                <w:lang w:val="lv-LV" w:eastAsia="en-GB"/>
              </w:rPr>
              <w:t>2</w:t>
            </w:r>
            <w:r w:rsidRPr="00B80447">
              <w:rPr>
                <w:rFonts w:ascii="Cambria" w:eastAsia="Times New Roman" w:hAnsi="Cambria"/>
                <w:sz w:val="19"/>
                <w:szCs w:val="24"/>
                <w:lang w:val="lv-LV" w:eastAsia="en-GB"/>
              </w:rPr>
              <w:t xml:space="preserve"> punktam</w:t>
            </w:r>
          </w:p>
        </w:tc>
        <w:tc>
          <w:tcPr>
            <w:tcW w:w="1357" w:type="dxa"/>
            <w:vAlign w:val="center"/>
            <w:hideMark/>
          </w:tcPr>
          <w:p w14:paraId="63244CB1" w14:textId="77777777" w:rsidR="00B80447" w:rsidRPr="00B80447" w:rsidRDefault="00B80447" w:rsidP="00C54300">
            <w:pPr>
              <w:suppressAutoHyphens/>
              <w:spacing w:after="0" w:line="240" w:lineRule="auto"/>
              <w:rPr>
                <w:rFonts w:ascii="Cambria" w:eastAsia="Times New Roman" w:hAnsi="Cambria"/>
                <w:sz w:val="19"/>
                <w:szCs w:val="24"/>
                <w:lang w:val="lv-LV" w:eastAsia="en-GB"/>
              </w:rPr>
            </w:pPr>
            <w:r w:rsidRPr="00B80447">
              <w:rPr>
                <w:rFonts w:ascii="Cambria" w:eastAsia="Times New Roman" w:hAnsi="Cambria"/>
                <w:sz w:val="19"/>
                <w:szCs w:val="24"/>
                <w:lang w:val="lv-LV" w:eastAsia="en-GB"/>
              </w:rPr>
              <w:t> </w:t>
            </w:r>
          </w:p>
        </w:tc>
        <w:tc>
          <w:tcPr>
            <w:tcW w:w="1641" w:type="dxa"/>
            <w:vAlign w:val="center"/>
            <w:hideMark/>
          </w:tcPr>
          <w:p w14:paraId="029F0FA0"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1</w:t>
            </w:r>
          </w:p>
        </w:tc>
      </w:tr>
      <w:tr w:rsidR="00B80447" w:rsidRPr="00B80447" w14:paraId="567AC297" w14:textId="77777777" w:rsidTr="00C54300">
        <w:tc>
          <w:tcPr>
            <w:tcW w:w="6583" w:type="dxa"/>
            <w:gridSpan w:val="2"/>
            <w:vAlign w:val="center"/>
            <w:hideMark/>
          </w:tcPr>
          <w:p w14:paraId="172EA4B8" w14:textId="77777777" w:rsidR="00B80447" w:rsidRPr="00B80447" w:rsidRDefault="00B80447" w:rsidP="00C54300">
            <w:pPr>
              <w:suppressAutoHyphens/>
              <w:spacing w:after="0" w:line="240" w:lineRule="auto"/>
              <w:jc w:val="right"/>
              <w:rPr>
                <w:rFonts w:ascii="Cambria" w:eastAsia="Times New Roman" w:hAnsi="Cambria"/>
                <w:sz w:val="19"/>
                <w:szCs w:val="24"/>
                <w:lang w:val="lv-LV" w:eastAsia="en-GB"/>
              </w:rPr>
            </w:pPr>
            <w:r w:rsidRPr="00B80447">
              <w:rPr>
                <w:rFonts w:ascii="Cambria" w:eastAsia="Times New Roman" w:hAnsi="Cambria"/>
                <w:sz w:val="19"/>
                <w:szCs w:val="24"/>
                <w:lang w:val="lv-LV" w:eastAsia="en-GB"/>
              </w:rPr>
              <w:t>Kopā</w:t>
            </w:r>
          </w:p>
        </w:tc>
        <w:tc>
          <w:tcPr>
            <w:tcW w:w="1357" w:type="dxa"/>
            <w:vAlign w:val="center"/>
            <w:hideMark/>
          </w:tcPr>
          <w:p w14:paraId="7371D406" w14:textId="77777777" w:rsidR="00B80447" w:rsidRPr="00B80447" w:rsidRDefault="00B80447" w:rsidP="00C54300">
            <w:pPr>
              <w:suppressAutoHyphens/>
              <w:spacing w:after="0" w:line="240" w:lineRule="auto"/>
              <w:rPr>
                <w:rFonts w:ascii="Cambria" w:eastAsia="Times New Roman" w:hAnsi="Cambria"/>
                <w:sz w:val="19"/>
                <w:szCs w:val="24"/>
                <w:lang w:val="lv-LV" w:eastAsia="en-GB"/>
              </w:rPr>
            </w:pPr>
            <w:r w:rsidRPr="00B80447">
              <w:rPr>
                <w:rFonts w:ascii="Cambria" w:eastAsia="Times New Roman" w:hAnsi="Cambria"/>
                <w:sz w:val="19"/>
                <w:szCs w:val="24"/>
                <w:lang w:val="lv-LV" w:eastAsia="en-GB"/>
              </w:rPr>
              <w:t> </w:t>
            </w:r>
          </w:p>
        </w:tc>
        <w:tc>
          <w:tcPr>
            <w:tcW w:w="1641" w:type="dxa"/>
            <w:vAlign w:val="center"/>
            <w:hideMark/>
          </w:tcPr>
          <w:p w14:paraId="70DFD852" w14:textId="77777777" w:rsidR="00B80447" w:rsidRPr="00B80447" w:rsidRDefault="00B80447" w:rsidP="00C54300">
            <w:pPr>
              <w:suppressAutoHyphens/>
              <w:spacing w:after="0" w:line="240" w:lineRule="auto"/>
              <w:jc w:val="center"/>
              <w:rPr>
                <w:rFonts w:ascii="Cambria" w:eastAsia="Times New Roman" w:hAnsi="Cambria"/>
                <w:sz w:val="19"/>
                <w:szCs w:val="24"/>
                <w:lang w:val="lv-LV" w:eastAsia="en-GB"/>
              </w:rPr>
            </w:pPr>
            <w:r w:rsidRPr="00B80447">
              <w:rPr>
                <w:rFonts w:ascii="Cambria" w:eastAsia="Times New Roman" w:hAnsi="Cambria"/>
                <w:sz w:val="19"/>
                <w:szCs w:val="24"/>
                <w:lang w:val="lv-LV" w:eastAsia="en-GB"/>
              </w:rPr>
              <w:t>17</w:t>
            </w:r>
          </w:p>
        </w:tc>
      </w:tr>
    </w:tbl>
    <w:p w14:paraId="3E87FDFC" w14:textId="77777777" w:rsidR="00B80447" w:rsidRPr="00B80447" w:rsidRDefault="00B80447" w:rsidP="00B80447">
      <w:pPr>
        <w:suppressAutoHyphens/>
        <w:spacing w:before="130" w:after="0" w:line="260" w:lineRule="atLeast"/>
        <w:rPr>
          <w:rFonts w:ascii="Cambria" w:eastAsia="Times New Roman" w:hAnsi="Cambria"/>
          <w:sz w:val="17"/>
          <w:szCs w:val="17"/>
          <w:lang w:val="lv-LV" w:eastAsia="en-GB"/>
        </w:rPr>
      </w:pPr>
    </w:p>
    <w:p w14:paraId="0227924E" w14:textId="53F822D1" w:rsidR="00B80447" w:rsidRPr="00B80447" w:rsidRDefault="00B80447" w:rsidP="00B80447">
      <w:pPr>
        <w:suppressAutoHyphens/>
        <w:spacing w:before="130" w:after="0" w:line="260" w:lineRule="atLeast"/>
        <w:rPr>
          <w:rFonts w:ascii="Cambria" w:eastAsia="Times New Roman" w:hAnsi="Cambria"/>
          <w:sz w:val="17"/>
          <w:szCs w:val="17"/>
          <w:lang w:val="lv-LV" w:eastAsia="en-GB"/>
        </w:rPr>
      </w:pPr>
      <w:r w:rsidRPr="00B80447">
        <w:rPr>
          <w:rFonts w:ascii="Cambria" w:eastAsia="Times New Roman" w:hAnsi="Cambria"/>
          <w:sz w:val="17"/>
          <w:szCs w:val="17"/>
          <w:lang w:val="lv-LV" w:eastAsia="en-GB"/>
        </w:rPr>
        <w:t>Piezīmes.</w:t>
      </w:r>
    </w:p>
    <w:p w14:paraId="43246113" w14:textId="77777777" w:rsidR="00B80447" w:rsidRPr="00B80447" w:rsidRDefault="00B80447" w:rsidP="00B80447">
      <w:pPr>
        <w:suppressAutoHyphens/>
        <w:spacing w:after="0" w:line="260" w:lineRule="atLeast"/>
        <w:jc w:val="both"/>
        <w:rPr>
          <w:rFonts w:ascii="Cambria" w:eastAsia="Times New Roman" w:hAnsi="Cambria"/>
          <w:sz w:val="17"/>
          <w:szCs w:val="17"/>
          <w:lang w:val="lv-LV" w:eastAsia="en-GB"/>
        </w:rPr>
      </w:pPr>
      <w:r w:rsidRPr="00B80447">
        <w:rPr>
          <w:rFonts w:ascii="Cambria" w:eastAsia="Times New Roman" w:hAnsi="Cambria"/>
          <w:sz w:val="17"/>
          <w:szCs w:val="17"/>
          <w:lang w:val="lv-LV" w:eastAsia="en-GB"/>
        </w:rPr>
        <w:t>1. * Vērtējums: 0 – nav, 1–2 – vāji, 3 – viduvēji, 4 – labi, 5 – izcili.</w:t>
      </w:r>
    </w:p>
    <w:p w14:paraId="65ACEC38" w14:textId="77777777" w:rsidR="00B80447" w:rsidRPr="00B80447" w:rsidRDefault="00B80447" w:rsidP="00B80447">
      <w:pPr>
        <w:suppressAutoHyphens/>
        <w:spacing w:after="0" w:line="260" w:lineRule="atLeast"/>
        <w:jc w:val="both"/>
        <w:rPr>
          <w:rFonts w:ascii="Cambria" w:eastAsia="Times New Roman" w:hAnsi="Cambria"/>
          <w:sz w:val="17"/>
          <w:szCs w:val="17"/>
          <w:lang w:val="lv-LV" w:eastAsia="en-GB"/>
        </w:rPr>
      </w:pPr>
      <w:r w:rsidRPr="00B80447">
        <w:rPr>
          <w:rFonts w:ascii="Cambria" w:eastAsia="Times New Roman" w:hAnsi="Cambria"/>
          <w:sz w:val="17"/>
          <w:szCs w:val="17"/>
          <w:lang w:val="lv-LV" w:eastAsia="en-GB"/>
        </w:rPr>
        <w:t>2. ** Sekmes tiek vērtētas atbilstoši katras valsts sekmju vērtēšanas sistēmai, piešķirot:</w:t>
      </w:r>
    </w:p>
    <w:p w14:paraId="35EF1AC7" w14:textId="77777777" w:rsidR="00B80447" w:rsidRPr="00B80447" w:rsidRDefault="00B80447" w:rsidP="00B80447">
      <w:pPr>
        <w:suppressAutoHyphens/>
        <w:spacing w:after="0" w:line="260" w:lineRule="atLeast"/>
        <w:jc w:val="both"/>
        <w:rPr>
          <w:rFonts w:ascii="Cambria" w:eastAsia="Times New Roman" w:hAnsi="Cambria"/>
          <w:sz w:val="17"/>
          <w:szCs w:val="17"/>
          <w:lang w:val="lv-LV" w:eastAsia="en-GB"/>
        </w:rPr>
      </w:pPr>
      <w:r w:rsidRPr="00B80447">
        <w:rPr>
          <w:rFonts w:ascii="Cambria" w:eastAsia="Times New Roman" w:hAnsi="Cambria"/>
          <w:sz w:val="17"/>
          <w:szCs w:val="17"/>
          <w:lang w:val="lv-LV" w:eastAsia="en-GB"/>
        </w:rPr>
        <w:t>2.1. 5 punktus, ja ārzemnieka sekmju vidējais rādītājs ir 90,5–100 % (ar 100 % apzīmē augstāko iespējamo studenta sekmju rādītāju);</w:t>
      </w:r>
    </w:p>
    <w:p w14:paraId="30E3167E" w14:textId="77777777" w:rsidR="00B80447" w:rsidRPr="00B80447" w:rsidRDefault="00B80447" w:rsidP="00B80447">
      <w:pPr>
        <w:suppressAutoHyphens/>
        <w:spacing w:after="0" w:line="260" w:lineRule="atLeast"/>
        <w:jc w:val="both"/>
        <w:rPr>
          <w:rFonts w:ascii="Cambria" w:eastAsia="Times New Roman" w:hAnsi="Cambria"/>
          <w:sz w:val="17"/>
          <w:szCs w:val="17"/>
          <w:lang w:val="lv-LV" w:eastAsia="en-GB"/>
        </w:rPr>
      </w:pPr>
      <w:r w:rsidRPr="00B80447">
        <w:rPr>
          <w:rFonts w:ascii="Cambria" w:eastAsia="Times New Roman" w:hAnsi="Cambria"/>
          <w:sz w:val="17"/>
          <w:szCs w:val="17"/>
          <w:lang w:val="lv-LV" w:eastAsia="en-GB"/>
        </w:rPr>
        <w:lastRenderedPageBreak/>
        <w:t>2.2. 4 punktus, ja ārzemnieka sekmju vidējais rādītājs ir 80,5–90,49 %;</w:t>
      </w:r>
    </w:p>
    <w:p w14:paraId="12E29D38" w14:textId="77777777" w:rsidR="00B80447" w:rsidRPr="00B80447" w:rsidRDefault="00B80447" w:rsidP="00B80447">
      <w:pPr>
        <w:suppressAutoHyphens/>
        <w:spacing w:after="0" w:line="260" w:lineRule="atLeast"/>
        <w:jc w:val="both"/>
        <w:rPr>
          <w:rFonts w:ascii="Cambria" w:eastAsia="Times New Roman" w:hAnsi="Cambria"/>
          <w:sz w:val="17"/>
          <w:szCs w:val="17"/>
          <w:lang w:val="lv-LV" w:eastAsia="en-GB"/>
        </w:rPr>
      </w:pPr>
      <w:r w:rsidRPr="00B80447">
        <w:rPr>
          <w:rFonts w:ascii="Cambria" w:eastAsia="Times New Roman" w:hAnsi="Cambria"/>
          <w:sz w:val="17"/>
          <w:szCs w:val="17"/>
          <w:lang w:val="lv-LV" w:eastAsia="en-GB"/>
        </w:rPr>
        <w:t>2.3. 3 punktus, ja ārzemnieka sekmju vidējais rādītājs ir 70,5–80,49 %;</w:t>
      </w:r>
    </w:p>
    <w:p w14:paraId="1AB61EB9" w14:textId="77777777" w:rsidR="00B80447" w:rsidRPr="00B80447" w:rsidRDefault="00B80447" w:rsidP="00B80447">
      <w:pPr>
        <w:suppressAutoHyphens/>
        <w:spacing w:after="0" w:line="260" w:lineRule="atLeast"/>
        <w:jc w:val="both"/>
        <w:rPr>
          <w:rFonts w:ascii="Cambria" w:eastAsia="Times New Roman" w:hAnsi="Cambria"/>
          <w:sz w:val="17"/>
          <w:szCs w:val="17"/>
          <w:lang w:val="lv-LV" w:eastAsia="en-GB"/>
        </w:rPr>
      </w:pPr>
      <w:r w:rsidRPr="00B80447">
        <w:rPr>
          <w:rFonts w:ascii="Cambria" w:eastAsia="Times New Roman" w:hAnsi="Cambria"/>
          <w:sz w:val="17"/>
          <w:szCs w:val="17"/>
          <w:lang w:val="lv-LV" w:eastAsia="en-GB"/>
        </w:rPr>
        <w:t>2.4. 2 punktus, ja ārzemnieka sekmju vidējais rādītājs ir 60,5–70,49 %;</w:t>
      </w:r>
    </w:p>
    <w:p w14:paraId="57C56D95" w14:textId="77777777" w:rsidR="00B80447" w:rsidRPr="00B80447" w:rsidRDefault="00B80447" w:rsidP="00B80447">
      <w:pPr>
        <w:suppressAutoHyphens/>
        <w:spacing w:after="0" w:line="260" w:lineRule="atLeast"/>
        <w:jc w:val="both"/>
        <w:rPr>
          <w:rFonts w:ascii="Cambria" w:eastAsia="Times New Roman" w:hAnsi="Cambria"/>
          <w:sz w:val="17"/>
          <w:szCs w:val="17"/>
          <w:lang w:val="lv-LV" w:eastAsia="en-GB"/>
        </w:rPr>
      </w:pPr>
      <w:r w:rsidRPr="00B80447">
        <w:rPr>
          <w:rFonts w:ascii="Cambria" w:eastAsia="Times New Roman" w:hAnsi="Cambria"/>
          <w:sz w:val="17"/>
          <w:szCs w:val="17"/>
          <w:lang w:val="lv-LV" w:eastAsia="en-GB"/>
        </w:rPr>
        <w:t>2.5. 1 punktu, ja ārzemnieka sekmju vidējais rādītājs ir 50–60,49 %."</w:t>
      </w:r>
    </w:p>
    <w:p w14:paraId="4C09C6D1" w14:textId="77777777" w:rsidR="00B80447" w:rsidRPr="00B80447" w:rsidRDefault="00B80447" w:rsidP="00B80447">
      <w:pPr>
        <w:suppressAutoHyphens/>
        <w:spacing w:before="130" w:after="0" w:line="260" w:lineRule="atLeast"/>
        <w:ind w:firstLine="539"/>
        <w:rPr>
          <w:rFonts w:ascii="Cambria" w:hAnsi="Cambria"/>
          <w:sz w:val="19"/>
          <w:lang w:val="lv-LV"/>
        </w:rPr>
      </w:pPr>
    </w:p>
    <w:p w14:paraId="02A2DD94" w14:textId="77777777" w:rsidR="00A06CC4" w:rsidRPr="00B80447" w:rsidRDefault="00A06CC4">
      <w:pPr>
        <w:rPr>
          <w:lang w:val="lv-LV"/>
        </w:rPr>
      </w:pPr>
    </w:p>
    <w:sectPr w:rsidR="00A06CC4" w:rsidRPr="00B80447" w:rsidSect="00B80447">
      <w:pgSz w:w="11907" w:h="16839"/>
      <w:pgMar w:top="1418" w:right="1191" w:bottom="1474" w:left="119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CB17C" w14:textId="77777777" w:rsidR="00370B35" w:rsidRDefault="00370B35" w:rsidP="00B80447">
      <w:pPr>
        <w:spacing w:after="0" w:line="240" w:lineRule="auto"/>
      </w:pPr>
      <w:r>
        <w:separator/>
      </w:r>
    </w:p>
  </w:endnote>
  <w:endnote w:type="continuationSeparator" w:id="0">
    <w:p w14:paraId="3A6230F6" w14:textId="77777777" w:rsidR="00370B35" w:rsidRDefault="00370B35" w:rsidP="00B80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4370C" w14:textId="77777777" w:rsidR="00370B35" w:rsidRDefault="00370B35" w:rsidP="00B80447">
      <w:pPr>
        <w:spacing w:after="0" w:line="240" w:lineRule="auto"/>
      </w:pPr>
      <w:r>
        <w:separator/>
      </w:r>
    </w:p>
  </w:footnote>
  <w:footnote w:type="continuationSeparator" w:id="0">
    <w:p w14:paraId="3721F860" w14:textId="77777777" w:rsidR="00370B35" w:rsidRDefault="00370B35" w:rsidP="00B804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47"/>
    <w:rsid w:val="001B352D"/>
    <w:rsid w:val="00370B35"/>
    <w:rsid w:val="00A06CC4"/>
    <w:rsid w:val="00B778C7"/>
    <w:rsid w:val="00B804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DDFB"/>
  <w15:chartTrackingRefBased/>
  <w15:docId w15:val="{F2DF98D5-7610-4A20-B2E5-09D2F735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0447"/>
    <w:pPr>
      <w:spacing w:after="200" w:line="276" w:lineRule="auto"/>
    </w:pPr>
    <w:rPr>
      <w:rFonts w:ascii="Calibri" w:eastAsia="Calibri" w:hAnsi="Calibri" w:cs="Times New Roman"/>
      <w:kern w:val="0"/>
      <w:sz w:val="22"/>
      <w:szCs w:val="22"/>
      <w:lang w:val="en-US"/>
      <w14:ligatures w14:val="none"/>
    </w:rPr>
  </w:style>
  <w:style w:type="paragraph" w:styleId="Virsraksts1">
    <w:name w:val="heading 1"/>
    <w:basedOn w:val="Parasts"/>
    <w:next w:val="Parasts"/>
    <w:link w:val="Virsraksts1Rakstz"/>
    <w:uiPriority w:val="9"/>
    <w:qFormat/>
    <w:rsid w:val="00B804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v-LV"/>
      <w14:ligatures w14:val="standardContextual"/>
    </w:rPr>
  </w:style>
  <w:style w:type="paragraph" w:styleId="Virsraksts2">
    <w:name w:val="heading 2"/>
    <w:basedOn w:val="Parasts"/>
    <w:next w:val="Parasts"/>
    <w:link w:val="Virsraksts2Rakstz"/>
    <w:uiPriority w:val="9"/>
    <w:semiHidden/>
    <w:unhideWhenUsed/>
    <w:qFormat/>
    <w:rsid w:val="00B804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v-LV"/>
      <w14:ligatures w14:val="standardContextual"/>
    </w:rPr>
  </w:style>
  <w:style w:type="paragraph" w:styleId="Virsraksts3">
    <w:name w:val="heading 3"/>
    <w:basedOn w:val="Parasts"/>
    <w:next w:val="Parasts"/>
    <w:link w:val="Virsraksts3Rakstz"/>
    <w:uiPriority w:val="9"/>
    <w:semiHidden/>
    <w:unhideWhenUsed/>
    <w:qFormat/>
    <w:rsid w:val="00B8044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v-LV"/>
      <w14:ligatures w14:val="standardContextual"/>
    </w:rPr>
  </w:style>
  <w:style w:type="paragraph" w:styleId="Virsraksts4">
    <w:name w:val="heading 4"/>
    <w:basedOn w:val="Parasts"/>
    <w:next w:val="Parasts"/>
    <w:link w:val="Virsraksts4Rakstz"/>
    <w:uiPriority w:val="9"/>
    <w:semiHidden/>
    <w:unhideWhenUsed/>
    <w:qFormat/>
    <w:rsid w:val="00B8044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lv-LV"/>
      <w14:ligatures w14:val="standardContextual"/>
    </w:rPr>
  </w:style>
  <w:style w:type="paragraph" w:styleId="Virsraksts5">
    <w:name w:val="heading 5"/>
    <w:basedOn w:val="Parasts"/>
    <w:next w:val="Parasts"/>
    <w:link w:val="Virsraksts5Rakstz"/>
    <w:uiPriority w:val="9"/>
    <w:semiHidden/>
    <w:unhideWhenUsed/>
    <w:qFormat/>
    <w:rsid w:val="00B8044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lv-LV"/>
      <w14:ligatures w14:val="standardContextual"/>
    </w:rPr>
  </w:style>
  <w:style w:type="paragraph" w:styleId="Virsraksts6">
    <w:name w:val="heading 6"/>
    <w:basedOn w:val="Parasts"/>
    <w:next w:val="Parasts"/>
    <w:link w:val="Virsraksts6Rakstz"/>
    <w:uiPriority w:val="9"/>
    <w:semiHidden/>
    <w:unhideWhenUsed/>
    <w:qFormat/>
    <w:rsid w:val="00B8044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lv-LV"/>
      <w14:ligatures w14:val="standardContextual"/>
    </w:rPr>
  </w:style>
  <w:style w:type="paragraph" w:styleId="Virsraksts7">
    <w:name w:val="heading 7"/>
    <w:basedOn w:val="Parasts"/>
    <w:next w:val="Parasts"/>
    <w:link w:val="Virsraksts7Rakstz"/>
    <w:uiPriority w:val="9"/>
    <w:semiHidden/>
    <w:unhideWhenUsed/>
    <w:qFormat/>
    <w:rsid w:val="00B8044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lv-LV"/>
      <w14:ligatures w14:val="standardContextual"/>
    </w:rPr>
  </w:style>
  <w:style w:type="paragraph" w:styleId="Virsraksts8">
    <w:name w:val="heading 8"/>
    <w:basedOn w:val="Parasts"/>
    <w:next w:val="Parasts"/>
    <w:link w:val="Virsraksts8Rakstz"/>
    <w:uiPriority w:val="9"/>
    <w:semiHidden/>
    <w:unhideWhenUsed/>
    <w:qFormat/>
    <w:rsid w:val="00B8044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lv-LV"/>
      <w14:ligatures w14:val="standardContextual"/>
    </w:rPr>
  </w:style>
  <w:style w:type="paragraph" w:styleId="Virsraksts9">
    <w:name w:val="heading 9"/>
    <w:basedOn w:val="Parasts"/>
    <w:next w:val="Parasts"/>
    <w:link w:val="Virsraksts9Rakstz"/>
    <w:uiPriority w:val="9"/>
    <w:semiHidden/>
    <w:unhideWhenUsed/>
    <w:qFormat/>
    <w:rsid w:val="00B80447"/>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lv-LV"/>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044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8044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8044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8044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8044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B8044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8044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8044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8044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80447"/>
    <w:pPr>
      <w:spacing w:after="80" w:line="240" w:lineRule="auto"/>
      <w:contextualSpacing/>
    </w:pPr>
    <w:rPr>
      <w:rFonts w:asciiTheme="majorHAnsi" w:eastAsiaTheme="majorEastAsia" w:hAnsiTheme="majorHAnsi" w:cstheme="majorBidi"/>
      <w:spacing w:val="-10"/>
      <w:kern w:val="28"/>
      <w:sz w:val="56"/>
      <w:szCs w:val="56"/>
      <w:lang w:val="lv-LV"/>
      <w14:ligatures w14:val="standardContextual"/>
    </w:rPr>
  </w:style>
  <w:style w:type="character" w:customStyle="1" w:styleId="NosaukumsRakstz">
    <w:name w:val="Nosaukums Rakstz."/>
    <w:basedOn w:val="Noklusjumarindkopasfonts"/>
    <w:link w:val="Nosaukums"/>
    <w:uiPriority w:val="10"/>
    <w:rsid w:val="00B8044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8044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v-LV"/>
      <w14:ligatures w14:val="standardContextual"/>
    </w:rPr>
  </w:style>
  <w:style w:type="character" w:customStyle="1" w:styleId="ApakvirsrakstsRakstz">
    <w:name w:val="Apakšvirsraksts Rakstz."/>
    <w:basedOn w:val="Noklusjumarindkopasfonts"/>
    <w:link w:val="Apakvirsraksts"/>
    <w:uiPriority w:val="11"/>
    <w:rsid w:val="00B8044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80447"/>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lv-LV"/>
      <w14:ligatures w14:val="standardContextual"/>
    </w:rPr>
  </w:style>
  <w:style w:type="character" w:customStyle="1" w:styleId="CittsRakstz">
    <w:name w:val="Citāts Rakstz."/>
    <w:basedOn w:val="Noklusjumarindkopasfonts"/>
    <w:link w:val="Citts"/>
    <w:uiPriority w:val="29"/>
    <w:rsid w:val="00B80447"/>
    <w:rPr>
      <w:i/>
      <w:iCs/>
      <w:color w:val="404040" w:themeColor="text1" w:themeTint="BF"/>
    </w:rPr>
  </w:style>
  <w:style w:type="paragraph" w:styleId="Sarakstarindkopa">
    <w:name w:val="List Paragraph"/>
    <w:basedOn w:val="Parasts"/>
    <w:uiPriority w:val="34"/>
    <w:qFormat/>
    <w:rsid w:val="00B80447"/>
    <w:pPr>
      <w:spacing w:after="160" w:line="278" w:lineRule="auto"/>
      <w:ind w:left="720"/>
      <w:contextualSpacing/>
    </w:pPr>
    <w:rPr>
      <w:rFonts w:asciiTheme="minorHAnsi" w:eastAsiaTheme="minorHAnsi" w:hAnsiTheme="minorHAnsi" w:cstheme="minorBidi"/>
      <w:kern w:val="2"/>
      <w:sz w:val="24"/>
      <w:szCs w:val="24"/>
      <w:lang w:val="lv-LV"/>
      <w14:ligatures w14:val="standardContextual"/>
    </w:rPr>
  </w:style>
  <w:style w:type="character" w:styleId="Intensvsizclums">
    <w:name w:val="Intense Emphasis"/>
    <w:basedOn w:val="Noklusjumarindkopasfonts"/>
    <w:uiPriority w:val="21"/>
    <w:qFormat/>
    <w:rsid w:val="00B80447"/>
    <w:rPr>
      <w:i/>
      <w:iCs/>
      <w:color w:val="0F4761" w:themeColor="accent1" w:themeShade="BF"/>
    </w:rPr>
  </w:style>
  <w:style w:type="paragraph" w:styleId="Intensvscitts">
    <w:name w:val="Intense Quote"/>
    <w:basedOn w:val="Parasts"/>
    <w:next w:val="Parasts"/>
    <w:link w:val="IntensvscittsRakstz"/>
    <w:uiPriority w:val="30"/>
    <w:qFormat/>
    <w:rsid w:val="00B8044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lv-LV"/>
      <w14:ligatures w14:val="standardContextual"/>
    </w:rPr>
  </w:style>
  <w:style w:type="character" w:customStyle="1" w:styleId="IntensvscittsRakstz">
    <w:name w:val="Intensīvs citāts Rakstz."/>
    <w:basedOn w:val="Noklusjumarindkopasfonts"/>
    <w:link w:val="Intensvscitts"/>
    <w:uiPriority w:val="30"/>
    <w:rsid w:val="00B80447"/>
    <w:rPr>
      <w:i/>
      <w:iCs/>
      <w:color w:val="0F4761" w:themeColor="accent1" w:themeShade="BF"/>
    </w:rPr>
  </w:style>
  <w:style w:type="character" w:styleId="Intensvaatsauce">
    <w:name w:val="Intense Reference"/>
    <w:basedOn w:val="Noklusjumarindkopasfonts"/>
    <w:uiPriority w:val="32"/>
    <w:qFormat/>
    <w:rsid w:val="00B80447"/>
    <w:rPr>
      <w:b/>
      <w:bCs/>
      <w:smallCaps/>
      <w:color w:val="0F4761" w:themeColor="accent1" w:themeShade="BF"/>
      <w:spacing w:val="5"/>
    </w:rPr>
  </w:style>
  <w:style w:type="paragraph" w:styleId="Galvene">
    <w:name w:val="header"/>
    <w:basedOn w:val="Parasts"/>
    <w:link w:val="GalveneRakstz"/>
    <w:uiPriority w:val="99"/>
    <w:unhideWhenUsed/>
    <w:rsid w:val="00B8044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80447"/>
    <w:rPr>
      <w:rFonts w:ascii="Calibri" w:eastAsia="Calibri" w:hAnsi="Calibri" w:cs="Times New Roman"/>
      <w:kern w:val="0"/>
      <w:sz w:val="22"/>
      <w:szCs w:val="22"/>
      <w:lang w:val="en-US"/>
      <w14:ligatures w14:val="none"/>
    </w:rPr>
  </w:style>
  <w:style w:type="paragraph" w:styleId="Kjene">
    <w:name w:val="footer"/>
    <w:basedOn w:val="Parasts"/>
    <w:link w:val="KjeneRakstz"/>
    <w:uiPriority w:val="99"/>
    <w:unhideWhenUsed/>
    <w:rsid w:val="00B804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80447"/>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1763</Words>
  <Characters>1005</Characters>
  <Application>Microsoft Office Word</Application>
  <DocSecurity>0</DocSecurity>
  <Lines>8</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Škutāne</dc:creator>
  <cp:keywords/>
  <dc:description/>
  <cp:lastModifiedBy>Vija Škutāne</cp:lastModifiedBy>
  <cp:revision>1</cp:revision>
  <dcterms:created xsi:type="dcterms:W3CDTF">2026-05-28T06:28:00Z</dcterms:created>
  <dcterms:modified xsi:type="dcterms:W3CDTF">2026-05-28T06:29:00Z</dcterms:modified>
</cp:coreProperties>
</file>