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6AF" w:rsidRDefault="00C516AF" w:rsidP="00C516AF">
      <w:pPr>
        <w:spacing w:before="130" w:after="0" w:line="260" w:lineRule="exact"/>
        <w:ind w:firstLine="539"/>
        <w:jc w:val="right"/>
        <w:rPr>
          <w:rFonts w:ascii="Cambria" w:eastAsia="Times New Roman" w:hAnsi="Cambria"/>
          <w:sz w:val="19"/>
          <w:szCs w:val="19"/>
          <w:lang w:eastAsia="lv-LV"/>
        </w:rPr>
      </w:pPr>
      <w:r w:rsidRPr="006F1CB8">
        <w:rPr>
          <w:rFonts w:ascii="Cambria" w:eastAsia="Times New Roman" w:hAnsi="Cambria"/>
          <w:sz w:val="19"/>
          <w:szCs w:val="19"/>
          <w:lang w:eastAsia="lv-LV"/>
        </w:rPr>
        <w:t>12. pielikums</w:t>
      </w:r>
      <w:r w:rsidRPr="006F1CB8">
        <w:rPr>
          <w:rFonts w:ascii="Cambria" w:eastAsia="Times New Roman" w:hAnsi="Cambria"/>
          <w:sz w:val="19"/>
          <w:szCs w:val="19"/>
          <w:lang w:eastAsia="lv-LV"/>
        </w:rPr>
        <w:br/>
        <w:t>Ministru kabineta</w:t>
      </w:r>
      <w:r w:rsidRPr="006F1CB8">
        <w:rPr>
          <w:rFonts w:ascii="Cambria" w:eastAsia="Times New Roman" w:hAnsi="Cambria"/>
          <w:sz w:val="19"/>
          <w:szCs w:val="19"/>
          <w:lang w:eastAsia="lv-LV"/>
        </w:rPr>
        <w:br/>
      </w:r>
      <w:bookmarkStart w:id="0" w:name="_GoBack"/>
      <w:bookmarkEnd w:id="0"/>
      <w:r w:rsidRPr="006F1CB8">
        <w:rPr>
          <w:rFonts w:ascii="Cambria" w:eastAsia="Times New Roman" w:hAnsi="Cambria"/>
          <w:sz w:val="19"/>
          <w:szCs w:val="19"/>
          <w:lang w:eastAsia="lv-LV"/>
        </w:rPr>
        <w:t>2010. gada 13. aprīļa</w:t>
      </w:r>
      <w:r w:rsidRPr="006F1CB8">
        <w:rPr>
          <w:rFonts w:ascii="Cambria" w:eastAsia="Times New Roman" w:hAnsi="Cambria"/>
          <w:sz w:val="19"/>
          <w:szCs w:val="19"/>
          <w:lang w:eastAsia="lv-LV"/>
        </w:rPr>
        <w:br/>
        <w:t>noteikumiem Nr. 358</w:t>
      </w:r>
    </w:p>
    <w:p w:rsidR="00C516AF" w:rsidRPr="00C516AF" w:rsidRDefault="00C516AF" w:rsidP="00C516AF">
      <w:pPr>
        <w:spacing w:before="130" w:after="0" w:line="260" w:lineRule="exact"/>
        <w:ind w:firstLine="539"/>
        <w:rPr>
          <w:rFonts w:ascii="Times New Roman" w:eastAsia="Times New Roman" w:hAnsi="Times New Roman"/>
          <w:i/>
          <w:sz w:val="20"/>
          <w:szCs w:val="20"/>
          <w:lang w:eastAsia="lv-LV"/>
        </w:rPr>
      </w:pPr>
      <w:r w:rsidRPr="00C516AF">
        <w:rPr>
          <w:rFonts w:ascii="Times New Roman" w:hAnsi="Times New Roman"/>
          <w:i/>
          <w:sz w:val="20"/>
          <w:szCs w:val="20"/>
        </w:rPr>
        <w:t>(Pielikums MK 28.06.2016. noteikumu Nr. 425 redakcijā)</w:t>
      </w:r>
    </w:p>
    <w:p w:rsidR="00C516AF" w:rsidRPr="006F1CB8" w:rsidRDefault="00C516AF" w:rsidP="00C516AF">
      <w:pPr>
        <w:pStyle w:val="NoSpacing"/>
        <w:spacing w:before="130" w:line="260" w:lineRule="exact"/>
        <w:ind w:firstLine="539"/>
        <w:jc w:val="both"/>
        <w:rPr>
          <w:rFonts w:ascii="Cambria" w:hAnsi="Cambria"/>
          <w:sz w:val="19"/>
          <w:szCs w:val="19"/>
          <w:shd w:val="clear" w:color="auto" w:fill="FFFFFF"/>
        </w:rPr>
      </w:pPr>
    </w:p>
    <w:p w:rsidR="00C516AF" w:rsidRPr="006F1CB8" w:rsidRDefault="00C516AF" w:rsidP="00C516AF">
      <w:pPr>
        <w:spacing w:before="130" w:after="0" w:line="260" w:lineRule="exact"/>
        <w:jc w:val="center"/>
        <w:rPr>
          <w:rFonts w:ascii="Cambria" w:eastAsia="Times New Roman" w:hAnsi="Cambria"/>
          <w:b/>
          <w:bCs/>
          <w:sz w:val="19"/>
          <w:szCs w:val="19"/>
        </w:rPr>
      </w:pPr>
      <w:r w:rsidRPr="006F1CB8">
        <w:rPr>
          <w:rFonts w:ascii="Cambria" w:eastAsia="Times New Roman" w:hAnsi="Cambria"/>
          <w:b/>
          <w:bCs/>
          <w:sz w:val="19"/>
          <w:szCs w:val="19"/>
        </w:rPr>
        <w:t>Apmācības programma Autopārvadājumu likuma 6</w:t>
      </w:r>
      <w:r w:rsidRPr="006F1CB8">
        <w:rPr>
          <w:rFonts w:ascii="Cambria" w:eastAsia="Times New Roman" w:hAnsi="Cambria"/>
          <w:b/>
          <w:iCs/>
          <w:sz w:val="19"/>
          <w:szCs w:val="19"/>
          <w:lang w:eastAsia="lv-LV"/>
        </w:rPr>
        <w:t>.</w:t>
      </w:r>
      <w:r w:rsidRPr="006F1CB8">
        <w:rPr>
          <w:rFonts w:ascii="Cambria" w:eastAsia="Times New Roman" w:hAnsi="Cambria"/>
          <w:b/>
          <w:iCs/>
          <w:sz w:val="19"/>
          <w:szCs w:val="19"/>
          <w:vertAlign w:val="superscript"/>
          <w:lang w:eastAsia="lv-LV"/>
        </w:rPr>
        <w:t xml:space="preserve">1 </w:t>
      </w:r>
      <w:r w:rsidRPr="006F1CB8">
        <w:rPr>
          <w:rFonts w:ascii="Cambria" w:eastAsia="Times New Roman" w:hAnsi="Cambria"/>
          <w:b/>
          <w:bCs/>
          <w:sz w:val="19"/>
          <w:szCs w:val="19"/>
        </w:rPr>
        <w:t>panta 2</w:t>
      </w:r>
      <w:r w:rsidRPr="006F1CB8">
        <w:rPr>
          <w:rFonts w:ascii="Cambria" w:eastAsia="Times New Roman" w:hAnsi="Cambria"/>
          <w:b/>
          <w:iCs/>
          <w:sz w:val="19"/>
          <w:szCs w:val="19"/>
          <w:lang w:eastAsia="lv-LV"/>
        </w:rPr>
        <w:t>.</w:t>
      </w:r>
      <w:r w:rsidRPr="006F1CB8">
        <w:rPr>
          <w:rFonts w:ascii="Cambria" w:eastAsia="Times New Roman" w:hAnsi="Cambria"/>
          <w:b/>
          <w:iCs/>
          <w:sz w:val="19"/>
          <w:szCs w:val="19"/>
          <w:vertAlign w:val="superscript"/>
          <w:lang w:eastAsia="lv-LV"/>
        </w:rPr>
        <w:t xml:space="preserve">1 </w:t>
      </w:r>
      <w:r w:rsidRPr="006F1CB8">
        <w:rPr>
          <w:rFonts w:ascii="Cambria" w:eastAsia="Times New Roman" w:hAnsi="Cambria"/>
          <w:b/>
          <w:bCs/>
          <w:sz w:val="19"/>
          <w:szCs w:val="19"/>
        </w:rPr>
        <w:t>daļā un 30</w:t>
      </w:r>
      <w:r w:rsidRPr="006F1CB8">
        <w:rPr>
          <w:rFonts w:ascii="Cambria" w:eastAsia="Times New Roman" w:hAnsi="Cambria"/>
          <w:b/>
          <w:iCs/>
          <w:sz w:val="19"/>
          <w:szCs w:val="19"/>
          <w:lang w:eastAsia="lv-LV"/>
        </w:rPr>
        <w:t>.</w:t>
      </w:r>
      <w:r w:rsidRPr="006F1CB8">
        <w:rPr>
          <w:rFonts w:ascii="Cambria" w:eastAsia="Times New Roman" w:hAnsi="Cambria"/>
          <w:b/>
          <w:iCs/>
          <w:sz w:val="19"/>
          <w:szCs w:val="19"/>
          <w:vertAlign w:val="superscript"/>
          <w:lang w:eastAsia="lv-LV"/>
        </w:rPr>
        <w:t xml:space="preserve">1 </w:t>
      </w:r>
      <w:r w:rsidRPr="006F1CB8">
        <w:rPr>
          <w:rFonts w:ascii="Cambria" w:eastAsia="Times New Roman" w:hAnsi="Cambria"/>
          <w:b/>
          <w:bCs/>
          <w:sz w:val="19"/>
          <w:szCs w:val="19"/>
        </w:rPr>
        <w:t>panta 2.</w:t>
      </w:r>
      <w:r w:rsidRPr="006F1CB8">
        <w:rPr>
          <w:rFonts w:ascii="Cambria" w:eastAsia="Times New Roman" w:hAnsi="Cambria"/>
          <w:b/>
          <w:bCs/>
          <w:sz w:val="19"/>
          <w:szCs w:val="19"/>
          <w:vertAlign w:val="superscript"/>
        </w:rPr>
        <w:t>1</w:t>
      </w:r>
      <w:r w:rsidRPr="006F1CB8">
        <w:rPr>
          <w:rFonts w:ascii="Cambria" w:eastAsia="Times New Roman" w:hAnsi="Cambria"/>
          <w:b/>
          <w:bCs/>
          <w:sz w:val="19"/>
          <w:szCs w:val="19"/>
        </w:rPr>
        <w:t xml:space="preserve"> vai 2.</w:t>
      </w:r>
      <w:r w:rsidRPr="006F1CB8">
        <w:rPr>
          <w:rFonts w:ascii="Cambria" w:eastAsia="Times New Roman" w:hAnsi="Cambria"/>
          <w:b/>
          <w:bCs/>
          <w:sz w:val="19"/>
          <w:szCs w:val="19"/>
          <w:vertAlign w:val="superscript"/>
        </w:rPr>
        <w:t xml:space="preserve">2 </w:t>
      </w:r>
      <w:r w:rsidRPr="006F1CB8">
        <w:rPr>
          <w:rFonts w:ascii="Cambria" w:eastAsia="Times New Roman" w:hAnsi="Cambria"/>
          <w:b/>
          <w:bCs/>
          <w:sz w:val="19"/>
          <w:szCs w:val="19"/>
        </w:rPr>
        <w:t xml:space="preserve">daļā </w:t>
      </w:r>
      <w:r>
        <w:rPr>
          <w:rFonts w:ascii="Cambria" w:eastAsia="Times New Roman" w:hAnsi="Cambria"/>
          <w:b/>
          <w:bCs/>
          <w:sz w:val="19"/>
          <w:szCs w:val="19"/>
        </w:rPr>
        <w:br/>
      </w:r>
      <w:r w:rsidRPr="006F1CB8">
        <w:rPr>
          <w:rFonts w:ascii="Cambria" w:eastAsia="Times New Roman" w:hAnsi="Cambria"/>
          <w:b/>
          <w:bCs/>
          <w:sz w:val="19"/>
          <w:szCs w:val="19"/>
        </w:rPr>
        <w:t>noteiktajiem transportlīdzekļu vadītājiem, kuri veic kravas un pasažieru pārvadājumus</w:t>
      </w:r>
    </w:p>
    <w:p w:rsidR="00C516AF" w:rsidRPr="006F1CB8" w:rsidRDefault="00C516AF" w:rsidP="00C516AF">
      <w:pPr>
        <w:pStyle w:val="NoSpacing"/>
        <w:spacing w:before="130" w:line="260" w:lineRule="exact"/>
        <w:ind w:firstLine="539"/>
        <w:jc w:val="both"/>
        <w:rPr>
          <w:rFonts w:ascii="Cambria" w:hAnsi="Cambria"/>
          <w:sz w:val="19"/>
          <w:szCs w:val="19"/>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8"/>
        <w:gridCol w:w="5505"/>
        <w:gridCol w:w="1321"/>
        <w:gridCol w:w="1322"/>
      </w:tblGrid>
      <w:tr w:rsidR="00C516AF" w:rsidRPr="00A03747" w:rsidTr="00C05F48">
        <w:trPr>
          <w:cantSplit/>
        </w:trPr>
        <w:tc>
          <w:tcPr>
            <w:tcW w:w="595" w:type="dxa"/>
            <w:shd w:val="clear" w:color="auto" w:fill="auto"/>
            <w:vAlign w:val="center"/>
            <w:hideMark/>
          </w:tcPr>
          <w:p w:rsidR="00C516AF" w:rsidRPr="00A03747" w:rsidRDefault="00C516AF" w:rsidP="00C05F48">
            <w:pPr>
              <w:pStyle w:val="CM1"/>
              <w:jc w:val="center"/>
              <w:rPr>
                <w:rFonts w:ascii="Cambria" w:hAnsi="Cambria"/>
                <w:sz w:val="19"/>
                <w:szCs w:val="19"/>
              </w:rPr>
            </w:pPr>
            <w:r w:rsidRPr="00A03747">
              <w:rPr>
                <w:rFonts w:ascii="Cambria" w:hAnsi="Cambria"/>
                <w:sz w:val="19"/>
                <w:szCs w:val="19"/>
              </w:rPr>
              <w:t>Nr.</w:t>
            </w:r>
            <w:r w:rsidRPr="00A03747">
              <w:rPr>
                <w:rFonts w:ascii="Cambria" w:hAnsi="Cambria"/>
                <w:sz w:val="19"/>
                <w:szCs w:val="19"/>
              </w:rPr>
              <w:br/>
              <w:t>p.k.</w:t>
            </w:r>
          </w:p>
        </w:tc>
        <w:tc>
          <w:tcPr>
            <w:tcW w:w="6237" w:type="dxa"/>
            <w:shd w:val="clear" w:color="auto" w:fill="auto"/>
            <w:vAlign w:val="center"/>
            <w:hideMark/>
          </w:tcPr>
          <w:p w:rsidR="00C516AF" w:rsidRPr="00A03747" w:rsidRDefault="00C516AF" w:rsidP="00C05F48">
            <w:pPr>
              <w:pStyle w:val="CM1"/>
              <w:jc w:val="center"/>
              <w:rPr>
                <w:rFonts w:ascii="Cambria" w:hAnsi="Cambria"/>
                <w:sz w:val="19"/>
                <w:szCs w:val="19"/>
              </w:rPr>
            </w:pPr>
            <w:r w:rsidRPr="00A03747">
              <w:rPr>
                <w:rFonts w:ascii="Cambria" w:hAnsi="Cambria"/>
                <w:sz w:val="19"/>
                <w:szCs w:val="19"/>
              </w:rPr>
              <w:t>Tēma</w:t>
            </w:r>
          </w:p>
        </w:tc>
        <w:tc>
          <w:tcPr>
            <w:tcW w:w="1374" w:type="dxa"/>
            <w:shd w:val="clear" w:color="auto" w:fill="auto"/>
            <w:vAlign w:val="center"/>
          </w:tcPr>
          <w:p w:rsidR="00C516AF" w:rsidRPr="00A03747" w:rsidRDefault="00C516AF" w:rsidP="00C05F48">
            <w:pPr>
              <w:pStyle w:val="CM1"/>
              <w:jc w:val="center"/>
              <w:rPr>
                <w:rFonts w:ascii="Cambria" w:hAnsi="Cambria"/>
                <w:sz w:val="19"/>
                <w:szCs w:val="19"/>
              </w:rPr>
            </w:pPr>
            <w:r w:rsidRPr="00A03747">
              <w:rPr>
                <w:rFonts w:ascii="Cambria" w:hAnsi="Cambria"/>
                <w:sz w:val="19"/>
                <w:szCs w:val="19"/>
              </w:rPr>
              <w:t>Kravas pārvadājumi</w:t>
            </w:r>
            <w:r>
              <w:rPr>
                <w:rFonts w:ascii="Cambria" w:hAnsi="Cambria"/>
                <w:sz w:val="19"/>
                <w:szCs w:val="19"/>
              </w:rPr>
              <w:br/>
            </w:r>
            <w:r w:rsidRPr="00A03747">
              <w:rPr>
                <w:rFonts w:ascii="Cambria" w:hAnsi="Cambria"/>
                <w:sz w:val="19"/>
                <w:szCs w:val="19"/>
              </w:rPr>
              <w:t>(C un CE)</w:t>
            </w:r>
          </w:p>
        </w:tc>
        <w:tc>
          <w:tcPr>
            <w:tcW w:w="1375" w:type="dxa"/>
            <w:shd w:val="clear" w:color="auto" w:fill="auto"/>
            <w:vAlign w:val="center"/>
            <w:hideMark/>
          </w:tcPr>
          <w:p w:rsidR="00C516AF" w:rsidRPr="00A03747" w:rsidRDefault="00C516AF" w:rsidP="00C05F48">
            <w:pPr>
              <w:pStyle w:val="CM1"/>
              <w:jc w:val="center"/>
              <w:rPr>
                <w:rFonts w:ascii="Cambria" w:hAnsi="Cambria"/>
                <w:sz w:val="19"/>
                <w:szCs w:val="19"/>
              </w:rPr>
            </w:pPr>
            <w:r w:rsidRPr="00A03747">
              <w:rPr>
                <w:rFonts w:ascii="Cambria" w:hAnsi="Cambria"/>
                <w:sz w:val="19"/>
                <w:szCs w:val="19"/>
              </w:rPr>
              <w:t>Pasažieru pārvadājumi</w:t>
            </w:r>
            <w:r>
              <w:rPr>
                <w:rFonts w:ascii="Cambria" w:hAnsi="Cambria"/>
                <w:sz w:val="19"/>
                <w:szCs w:val="19"/>
              </w:rPr>
              <w:br/>
            </w:r>
            <w:r w:rsidRPr="00A03747">
              <w:rPr>
                <w:rFonts w:ascii="Cambria" w:hAnsi="Cambria"/>
                <w:sz w:val="19"/>
                <w:szCs w:val="19"/>
              </w:rPr>
              <w:t>(D1; D un DE)</w:t>
            </w:r>
          </w:p>
        </w:tc>
      </w:tr>
      <w:tr w:rsidR="00C516AF" w:rsidRPr="00A03747" w:rsidTr="00C05F48">
        <w:trPr>
          <w:cantSplit/>
        </w:trPr>
        <w:tc>
          <w:tcPr>
            <w:tcW w:w="595" w:type="dxa"/>
            <w:shd w:val="clear" w:color="auto" w:fill="auto"/>
            <w:hideMark/>
          </w:tcPr>
          <w:p w:rsidR="00C516AF" w:rsidRPr="00A03747" w:rsidRDefault="00C516AF" w:rsidP="00C05F48">
            <w:pPr>
              <w:pStyle w:val="CM1"/>
              <w:jc w:val="center"/>
              <w:rPr>
                <w:rFonts w:ascii="Cambria" w:hAnsi="Cambria"/>
                <w:sz w:val="19"/>
                <w:szCs w:val="19"/>
              </w:rPr>
            </w:pPr>
            <w:r w:rsidRPr="00A03747">
              <w:rPr>
                <w:rFonts w:ascii="Cambria" w:hAnsi="Cambria"/>
                <w:sz w:val="19"/>
                <w:szCs w:val="19"/>
              </w:rPr>
              <w:t>1.</w:t>
            </w:r>
          </w:p>
        </w:tc>
        <w:tc>
          <w:tcPr>
            <w:tcW w:w="6237" w:type="dxa"/>
            <w:shd w:val="clear" w:color="auto" w:fill="auto"/>
            <w:hideMark/>
          </w:tcPr>
          <w:p w:rsidR="00C516AF" w:rsidRPr="00A03747" w:rsidRDefault="00C516AF" w:rsidP="00C05F48">
            <w:pPr>
              <w:pStyle w:val="CM1"/>
              <w:rPr>
                <w:rFonts w:ascii="Cambria" w:hAnsi="Cambria"/>
                <w:b/>
                <w:iCs/>
                <w:sz w:val="19"/>
                <w:szCs w:val="19"/>
              </w:rPr>
            </w:pPr>
            <w:r w:rsidRPr="00A03747">
              <w:rPr>
                <w:rFonts w:ascii="Cambria" w:hAnsi="Cambria"/>
                <w:b/>
                <w:iCs/>
                <w:sz w:val="19"/>
                <w:szCs w:val="19"/>
              </w:rPr>
              <w:t>Prasmju attīstīšana attiecībā uz racionālu braukšanu, ievērojot drošības noteikumus</w:t>
            </w:r>
          </w:p>
        </w:tc>
        <w:tc>
          <w:tcPr>
            <w:tcW w:w="1374" w:type="dxa"/>
            <w:shd w:val="clear" w:color="auto" w:fill="808080"/>
          </w:tcPr>
          <w:p w:rsidR="00C516AF" w:rsidRPr="00A03747" w:rsidRDefault="00C516AF" w:rsidP="00C05F48">
            <w:pPr>
              <w:pStyle w:val="CM1"/>
              <w:jc w:val="center"/>
              <w:rPr>
                <w:rFonts w:ascii="Cambria" w:hAnsi="Cambria"/>
                <w:sz w:val="19"/>
                <w:szCs w:val="19"/>
              </w:rPr>
            </w:pPr>
          </w:p>
        </w:tc>
        <w:tc>
          <w:tcPr>
            <w:tcW w:w="1375" w:type="dxa"/>
            <w:shd w:val="clear" w:color="auto" w:fill="808080"/>
          </w:tcPr>
          <w:p w:rsidR="00C516AF" w:rsidRPr="00A03747" w:rsidRDefault="00C516AF" w:rsidP="00C05F48">
            <w:pPr>
              <w:pStyle w:val="CM1"/>
              <w:jc w:val="center"/>
              <w:rPr>
                <w:rFonts w:ascii="Cambria" w:hAnsi="Cambria"/>
                <w:sz w:val="19"/>
                <w:szCs w:val="19"/>
              </w:rPr>
            </w:pPr>
          </w:p>
        </w:tc>
      </w:tr>
      <w:tr w:rsidR="00C516AF" w:rsidRPr="00A03747" w:rsidTr="00C05F48">
        <w:trPr>
          <w:cantSplit/>
        </w:trPr>
        <w:tc>
          <w:tcPr>
            <w:tcW w:w="595" w:type="dxa"/>
            <w:shd w:val="clear" w:color="auto" w:fill="auto"/>
            <w:hideMark/>
          </w:tcPr>
          <w:p w:rsidR="00C516AF" w:rsidRPr="00A03747" w:rsidRDefault="00C516AF" w:rsidP="00C05F48">
            <w:pPr>
              <w:pStyle w:val="CM1"/>
              <w:jc w:val="center"/>
              <w:rPr>
                <w:rFonts w:ascii="Cambria" w:hAnsi="Cambria"/>
                <w:sz w:val="19"/>
                <w:szCs w:val="19"/>
              </w:rPr>
            </w:pPr>
            <w:r w:rsidRPr="00A03747">
              <w:rPr>
                <w:rFonts w:ascii="Cambria" w:hAnsi="Cambria"/>
                <w:sz w:val="19"/>
                <w:szCs w:val="19"/>
              </w:rPr>
              <w:t>1.1.</w:t>
            </w:r>
          </w:p>
        </w:tc>
        <w:tc>
          <w:tcPr>
            <w:tcW w:w="6237" w:type="dxa"/>
            <w:shd w:val="clear" w:color="auto" w:fill="auto"/>
            <w:hideMark/>
          </w:tcPr>
          <w:p w:rsidR="00C516AF" w:rsidRPr="00A03747" w:rsidRDefault="00C516AF" w:rsidP="00C05F48">
            <w:pPr>
              <w:pStyle w:val="CM1"/>
              <w:rPr>
                <w:rFonts w:ascii="Cambria" w:hAnsi="Cambria"/>
                <w:iCs/>
                <w:sz w:val="19"/>
                <w:szCs w:val="19"/>
              </w:rPr>
            </w:pPr>
            <w:r w:rsidRPr="00A03747">
              <w:rPr>
                <w:rFonts w:ascii="Cambria" w:hAnsi="Cambria"/>
                <w:iCs/>
                <w:sz w:val="19"/>
                <w:szCs w:val="19"/>
              </w:rPr>
              <w:t>iespējami labi izmantot transmisiju un zināt tās parametrus:</w:t>
            </w:r>
          </w:p>
          <w:p w:rsidR="00C516AF" w:rsidRPr="00A03747" w:rsidRDefault="00C516AF" w:rsidP="00C05F48">
            <w:pPr>
              <w:pStyle w:val="CM1"/>
              <w:rPr>
                <w:rFonts w:ascii="Cambria" w:hAnsi="Cambria"/>
                <w:iCs/>
                <w:sz w:val="19"/>
                <w:szCs w:val="19"/>
              </w:rPr>
            </w:pPr>
            <w:r w:rsidRPr="00A03747">
              <w:rPr>
                <w:rFonts w:ascii="Cambria" w:hAnsi="Cambria"/>
                <w:iCs/>
                <w:sz w:val="19"/>
                <w:szCs w:val="19"/>
              </w:rPr>
              <w:t>līknes, kas attiecas uz motora griezes momentu, jaudu un īpatnējo patēriņu, apgriezienu mērītāja optimālas izmantošanas diapazonu; pārnesumkārbas pārnesumu lietošanas robežu diagrammas</w:t>
            </w:r>
          </w:p>
        </w:tc>
        <w:tc>
          <w:tcPr>
            <w:tcW w:w="1374" w:type="dxa"/>
            <w:shd w:val="clear" w:color="auto" w:fill="auto"/>
          </w:tcPr>
          <w:p w:rsidR="00C516AF" w:rsidRPr="00A03747" w:rsidRDefault="00C516AF" w:rsidP="00C05F48">
            <w:pPr>
              <w:pStyle w:val="CM1"/>
              <w:jc w:val="center"/>
              <w:rPr>
                <w:rFonts w:ascii="Cambria" w:hAnsi="Cambria"/>
                <w:sz w:val="19"/>
                <w:szCs w:val="19"/>
              </w:rPr>
            </w:pPr>
          </w:p>
        </w:tc>
        <w:tc>
          <w:tcPr>
            <w:tcW w:w="1375" w:type="dxa"/>
            <w:shd w:val="clear" w:color="auto" w:fill="auto"/>
          </w:tcPr>
          <w:p w:rsidR="00C516AF" w:rsidRPr="00A03747" w:rsidRDefault="00C516AF" w:rsidP="00C05F48">
            <w:pPr>
              <w:pStyle w:val="CM1"/>
              <w:jc w:val="center"/>
              <w:rPr>
                <w:rFonts w:ascii="Cambria" w:hAnsi="Cambria"/>
                <w:sz w:val="19"/>
                <w:szCs w:val="19"/>
              </w:rPr>
            </w:pPr>
          </w:p>
        </w:tc>
      </w:tr>
      <w:tr w:rsidR="00C516AF" w:rsidRPr="00A03747" w:rsidTr="00C05F48">
        <w:trPr>
          <w:cantSplit/>
        </w:trPr>
        <w:tc>
          <w:tcPr>
            <w:tcW w:w="595" w:type="dxa"/>
            <w:shd w:val="clear" w:color="auto" w:fill="auto"/>
            <w:hideMark/>
          </w:tcPr>
          <w:p w:rsidR="00C516AF" w:rsidRPr="00A03747" w:rsidRDefault="00C516AF" w:rsidP="00C05F48">
            <w:pPr>
              <w:pStyle w:val="CM1"/>
              <w:jc w:val="center"/>
              <w:rPr>
                <w:rFonts w:ascii="Cambria" w:hAnsi="Cambria"/>
                <w:sz w:val="19"/>
                <w:szCs w:val="19"/>
              </w:rPr>
            </w:pPr>
            <w:r w:rsidRPr="00A03747">
              <w:rPr>
                <w:rFonts w:ascii="Cambria" w:hAnsi="Cambria"/>
                <w:sz w:val="19"/>
                <w:szCs w:val="19"/>
              </w:rPr>
              <w:t>1.2.</w:t>
            </w:r>
          </w:p>
        </w:tc>
        <w:tc>
          <w:tcPr>
            <w:tcW w:w="6237" w:type="dxa"/>
            <w:shd w:val="clear" w:color="auto" w:fill="auto"/>
            <w:hideMark/>
          </w:tcPr>
          <w:p w:rsidR="00C516AF" w:rsidRPr="00A03747" w:rsidRDefault="00C516AF" w:rsidP="00C05F48">
            <w:pPr>
              <w:pStyle w:val="CM1"/>
              <w:rPr>
                <w:rFonts w:ascii="Cambria" w:hAnsi="Cambria"/>
                <w:iCs/>
                <w:sz w:val="19"/>
                <w:szCs w:val="19"/>
              </w:rPr>
            </w:pPr>
            <w:r w:rsidRPr="00A03747">
              <w:rPr>
                <w:rFonts w:ascii="Cambria" w:hAnsi="Cambria"/>
                <w:iCs/>
                <w:sz w:val="19"/>
                <w:szCs w:val="19"/>
              </w:rPr>
              <w:t>kontrolēt transportlīdzekli, līdz minimumam samazināt nodilumu un nepieļaut darbības traucējumus, pārzināt drošības ierīču tehniskos parametrus un to vadību:</w:t>
            </w:r>
          </w:p>
          <w:p w:rsidR="00C516AF" w:rsidRPr="00A03747" w:rsidRDefault="00C516AF" w:rsidP="00C05F48">
            <w:pPr>
              <w:spacing w:after="0" w:line="240" w:lineRule="auto"/>
              <w:rPr>
                <w:rFonts w:ascii="Cambria" w:hAnsi="Cambria"/>
                <w:iCs/>
                <w:sz w:val="19"/>
                <w:szCs w:val="19"/>
              </w:rPr>
            </w:pPr>
            <w:r w:rsidRPr="00A03747">
              <w:rPr>
                <w:rFonts w:ascii="Cambria" w:hAnsi="Cambria"/>
                <w:iCs/>
                <w:sz w:val="19"/>
                <w:szCs w:val="19"/>
              </w:rPr>
              <w:t>bremžu un lēninātāja izmantošanas robežas, bremžu un lēninātāja kombinēta izmantošana, ātruma un pārnesuma skaitļa labāka izmantošana, transportlīdzekļa inerces izmantošana, ātruma samazināšanas un bremzēšanas veidu izmantošana, braucot no kalna; rīcība tehniskas kļūmes gadījumā; tādu elektronisku un mehānisku ierīču lietošana kā elektroniskā stabilitātes programma (ESP), uzlabota avārijas bremzēšanas sistēma (AEBS), bremžu pretbloķēšanas sistēma (ABS), vilces vadības sistēmas (TCS), iebūvētās transportlīdzekļa uzraudzības sistēmas (IVMS) un citas lietošanai apstiprinātas vadītāja palīdzības vai automatizācijas ierīces</w:t>
            </w:r>
          </w:p>
        </w:tc>
        <w:tc>
          <w:tcPr>
            <w:tcW w:w="1374" w:type="dxa"/>
            <w:shd w:val="clear" w:color="auto" w:fill="auto"/>
          </w:tcPr>
          <w:p w:rsidR="00C516AF" w:rsidRPr="00A03747" w:rsidRDefault="00C516AF" w:rsidP="00C05F48">
            <w:pPr>
              <w:pStyle w:val="CM1"/>
              <w:jc w:val="center"/>
              <w:rPr>
                <w:rFonts w:ascii="Cambria" w:hAnsi="Cambria"/>
                <w:sz w:val="19"/>
                <w:szCs w:val="19"/>
              </w:rPr>
            </w:pPr>
          </w:p>
        </w:tc>
        <w:tc>
          <w:tcPr>
            <w:tcW w:w="1375" w:type="dxa"/>
            <w:shd w:val="clear" w:color="auto" w:fill="auto"/>
          </w:tcPr>
          <w:p w:rsidR="00C516AF" w:rsidRPr="00A03747" w:rsidRDefault="00C516AF" w:rsidP="00C05F48">
            <w:pPr>
              <w:pStyle w:val="CM1"/>
              <w:jc w:val="center"/>
              <w:rPr>
                <w:rFonts w:ascii="Cambria" w:hAnsi="Cambria"/>
                <w:sz w:val="19"/>
                <w:szCs w:val="19"/>
              </w:rPr>
            </w:pPr>
          </w:p>
        </w:tc>
      </w:tr>
      <w:tr w:rsidR="00C516AF" w:rsidRPr="00A03747" w:rsidTr="00C05F48">
        <w:trPr>
          <w:cantSplit/>
        </w:trPr>
        <w:tc>
          <w:tcPr>
            <w:tcW w:w="595" w:type="dxa"/>
            <w:shd w:val="clear" w:color="auto" w:fill="auto"/>
            <w:hideMark/>
          </w:tcPr>
          <w:p w:rsidR="00C516AF" w:rsidRPr="00A03747" w:rsidRDefault="00C516AF" w:rsidP="00C05F48">
            <w:pPr>
              <w:pStyle w:val="CM1"/>
              <w:jc w:val="center"/>
              <w:rPr>
                <w:rFonts w:ascii="Cambria" w:hAnsi="Cambria"/>
                <w:sz w:val="19"/>
                <w:szCs w:val="19"/>
              </w:rPr>
            </w:pPr>
            <w:r w:rsidRPr="00A03747">
              <w:rPr>
                <w:rFonts w:ascii="Cambria" w:hAnsi="Cambria"/>
                <w:sz w:val="19"/>
                <w:szCs w:val="19"/>
              </w:rPr>
              <w:t>1.3.</w:t>
            </w:r>
          </w:p>
        </w:tc>
        <w:tc>
          <w:tcPr>
            <w:tcW w:w="6237" w:type="dxa"/>
            <w:shd w:val="clear" w:color="auto" w:fill="auto"/>
            <w:hideMark/>
          </w:tcPr>
          <w:p w:rsidR="00C516AF" w:rsidRPr="00A03747" w:rsidRDefault="00C516AF" w:rsidP="00C05F48">
            <w:pPr>
              <w:pStyle w:val="CM1"/>
              <w:rPr>
                <w:rFonts w:ascii="Cambria" w:hAnsi="Cambria"/>
                <w:iCs/>
                <w:sz w:val="19"/>
                <w:szCs w:val="19"/>
              </w:rPr>
            </w:pPr>
            <w:r w:rsidRPr="00A03747">
              <w:rPr>
                <w:rFonts w:ascii="Cambria" w:hAnsi="Cambria"/>
                <w:iCs/>
                <w:sz w:val="19"/>
                <w:szCs w:val="19"/>
              </w:rPr>
              <w:t>zināt, kā optimizēt degvielas patēriņu:</w:t>
            </w:r>
          </w:p>
          <w:p w:rsidR="00C516AF" w:rsidRPr="00A03747" w:rsidRDefault="00C516AF" w:rsidP="00C05F48">
            <w:pPr>
              <w:spacing w:after="0" w:line="240" w:lineRule="auto"/>
              <w:rPr>
                <w:rFonts w:ascii="Cambria" w:hAnsi="Cambria"/>
                <w:iCs/>
                <w:sz w:val="19"/>
                <w:szCs w:val="19"/>
              </w:rPr>
            </w:pPr>
            <w:r w:rsidRPr="00A03747">
              <w:rPr>
                <w:rFonts w:ascii="Cambria" w:hAnsi="Cambria"/>
                <w:iCs/>
                <w:sz w:val="19"/>
                <w:szCs w:val="19"/>
              </w:rPr>
              <w:t xml:space="preserve">degvielas patēriņa optimizācija, izmantojot zināšanas un prasmes attiecībā uz šīs tabulas 1.1. un 1.2. apakšpunktu; satiksmes plūsmas, pienācīga distance līdz citiem transportlīdzekļiem un tās paredzēšanas nozīmība; transportlīdzekļa kustības daudzuma izmantošana, vienmērīgs ātrums, laidens braukšanas stils un atbilstošs spiediens riepās; zināšanas par </w:t>
            </w:r>
            <w:proofErr w:type="spellStart"/>
            <w:r w:rsidRPr="00A03747">
              <w:rPr>
                <w:rFonts w:ascii="Cambria" w:hAnsi="Cambria"/>
                <w:iCs/>
                <w:sz w:val="19"/>
                <w:szCs w:val="19"/>
              </w:rPr>
              <w:t>intelektiskām</w:t>
            </w:r>
            <w:proofErr w:type="spellEnd"/>
            <w:r w:rsidRPr="00A03747">
              <w:rPr>
                <w:rFonts w:ascii="Cambria" w:hAnsi="Cambria"/>
                <w:iCs/>
                <w:sz w:val="19"/>
                <w:szCs w:val="19"/>
              </w:rPr>
              <w:t xml:space="preserve"> transporta sistēmām, ar kurām uzlabo braukšanas efektivitāti un palīdz plānot maršrutu</w:t>
            </w:r>
          </w:p>
        </w:tc>
        <w:tc>
          <w:tcPr>
            <w:tcW w:w="1374" w:type="dxa"/>
            <w:shd w:val="clear" w:color="auto" w:fill="auto"/>
          </w:tcPr>
          <w:p w:rsidR="00C516AF" w:rsidRPr="00A03747" w:rsidRDefault="00C516AF" w:rsidP="00C05F48">
            <w:pPr>
              <w:pStyle w:val="CM1"/>
              <w:jc w:val="center"/>
              <w:rPr>
                <w:rFonts w:ascii="Cambria" w:hAnsi="Cambria"/>
                <w:sz w:val="19"/>
                <w:szCs w:val="19"/>
              </w:rPr>
            </w:pPr>
          </w:p>
        </w:tc>
        <w:tc>
          <w:tcPr>
            <w:tcW w:w="1375" w:type="dxa"/>
            <w:shd w:val="clear" w:color="auto" w:fill="auto"/>
          </w:tcPr>
          <w:p w:rsidR="00C516AF" w:rsidRPr="00A03747" w:rsidRDefault="00C516AF" w:rsidP="00C05F48">
            <w:pPr>
              <w:pStyle w:val="CM1"/>
              <w:jc w:val="center"/>
              <w:rPr>
                <w:rFonts w:ascii="Cambria" w:hAnsi="Cambria"/>
                <w:sz w:val="19"/>
                <w:szCs w:val="19"/>
              </w:rPr>
            </w:pPr>
          </w:p>
        </w:tc>
      </w:tr>
      <w:tr w:rsidR="00C516AF" w:rsidRPr="00A03747" w:rsidTr="00C05F48">
        <w:trPr>
          <w:cantSplit/>
        </w:trPr>
        <w:tc>
          <w:tcPr>
            <w:tcW w:w="595" w:type="dxa"/>
            <w:shd w:val="clear" w:color="auto" w:fill="auto"/>
            <w:hideMark/>
          </w:tcPr>
          <w:p w:rsidR="00C516AF" w:rsidRPr="00A03747" w:rsidRDefault="00C516AF" w:rsidP="00C05F48">
            <w:pPr>
              <w:pStyle w:val="CM1"/>
              <w:jc w:val="center"/>
              <w:rPr>
                <w:rFonts w:ascii="Cambria" w:hAnsi="Cambria"/>
                <w:iCs/>
                <w:sz w:val="19"/>
                <w:szCs w:val="19"/>
              </w:rPr>
            </w:pPr>
            <w:bookmarkStart w:id="1" w:name="_Hlk48050989"/>
            <w:r w:rsidRPr="00A03747">
              <w:rPr>
                <w:rFonts w:ascii="Cambria" w:hAnsi="Cambria"/>
                <w:iCs/>
                <w:sz w:val="19"/>
                <w:szCs w:val="19"/>
              </w:rPr>
              <w:lastRenderedPageBreak/>
              <w:t>1.4.</w:t>
            </w:r>
          </w:p>
        </w:tc>
        <w:tc>
          <w:tcPr>
            <w:tcW w:w="6237" w:type="dxa"/>
            <w:shd w:val="clear" w:color="auto" w:fill="auto"/>
            <w:hideMark/>
          </w:tcPr>
          <w:p w:rsidR="00C516AF" w:rsidRPr="00A03747" w:rsidRDefault="00C516AF" w:rsidP="00C05F48">
            <w:pPr>
              <w:pStyle w:val="CM1"/>
              <w:rPr>
                <w:rFonts w:ascii="Cambria" w:hAnsi="Cambria"/>
                <w:iCs/>
                <w:sz w:val="19"/>
                <w:szCs w:val="19"/>
              </w:rPr>
            </w:pPr>
            <w:r w:rsidRPr="00A03747">
              <w:rPr>
                <w:rFonts w:ascii="Cambria" w:hAnsi="Cambria"/>
                <w:iCs/>
                <w:sz w:val="19"/>
                <w:szCs w:val="19"/>
              </w:rPr>
              <w:t>mācēt paredzēt un novērtēt riskus ceļu satiksmē un pielāgoties tiem:</w:t>
            </w:r>
          </w:p>
          <w:p w:rsidR="00C516AF" w:rsidRPr="00A03747" w:rsidRDefault="00C516AF" w:rsidP="00C05F48">
            <w:pPr>
              <w:pStyle w:val="CM1"/>
              <w:rPr>
                <w:rFonts w:ascii="Cambria" w:hAnsi="Cambria"/>
                <w:iCs/>
                <w:sz w:val="19"/>
                <w:szCs w:val="19"/>
              </w:rPr>
            </w:pPr>
            <w:r w:rsidRPr="00A03747">
              <w:rPr>
                <w:rFonts w:ascii="Cambria" w:hAnsi="Cambria"/>
                <w:iCs/>
                <w:sz w:val="19"/>
                <w:szCs w:val="19"/>
              </w:rPr>
              <w:t xml:space="preserve">spēja apzināties </w:t>
            </w:r>
            <w:proofErr w:type="gramStart"/>
            <w:r w:rsidRPr="00A03747">
              <w:rPr>
                <w:rFonts w:ascii="Cambria" w:hAnsi="Cambria"/>
                <w:iCs/>
                <w:sz w:val="19"/>
                <w:szCs w:val="19"/>
              </w:rPr>
              <w:t>dažādus ceļa</w:t>
            </w:r>
            <w:proofErr w:type="gramEnd"/>
            <w:r w:rsidRPr="00A03747">
              <w:rPr>
                <w:rFonts w:ascii="Cambria" w:hAnsi="Cambria"/>
                <w:iCs/>
                <w:sz w:val="19"/>
                <w:szCs w:val="19"/>
              </w:rPr>
              <w:t>, satiksmes un klimatiskos apstākļus un pielāgoties tiem, spēja paredzēt iespējamus notikumus; zināšanas un prasme sagatavot un plānot braucienu ekstremālos laikapstākļos; māka rīkoties ar attiecīgo drošības aprīkojumu un spēja saprast, kad brauciens būtu jāatliek vai jāatceļ ekstremālu laikapstākļu dēļ; spēja pielāgoties ceļu satiksmes riskiem, tostarp ceļu satiksmē bīstamai uzvedībai vai neuzmanīgai transportlīdzekļa vadīšanai, ko izraisījusi elektronisku ierīču lietošana, ēšana, dzeršana, smēķēšana u. tml.; spēja atpazīt bīstamas situācijas, pielāgoties tām un pārvarēt to radīto stresu, jo īpaši saistībā ar transportlīdzekļu lielumu un masu un neaizsargātajiem satiksmes dalībniekiem – gājējiem, velobraucējiem un motorizētiem divriteņu transportlīdzekļiem; spēja identificēt iespējami bīstamas situācijas un pienācīgi izvērtēt, kā šīs iespējami bīstamās situācijas var kļūt par situācijām, kad vairs nav iespējams novērst sadursmi, kā arī spēja izvēlēties un veikt darbības, kas uzlabo drošības rezervi tā, ka no sadursmes tomēr ir iespējams izvairīties gadījumā, ja rodas potenciāla bīstamība</w:t>
            </w:r>
          </w:p>
        </w:tc>
        <w:tc>
          <w:tcPr>
            <w:tcW w:w="1374" w:type="dxa"/>
            <w:shd w:val="clear" w:color="auto" w:fill="auto"/>
          </w:tcPr>
          <w:p w:rsidR="00C516AF" w:rsidRPr="00A03747" w:rsidRDefault="00C516AF" w:rsidP="00C05F48">
            <w:pPr>
              <w:pStyle w:val="CM1"/>
              <w:jc w:val="center"/>
              <w:rPr>
                <w:rFonts w:ascii="Cambria" w:hAnsi="Cambria"/>
                <w:sz w:val="19"/>
                <w:szCs w:val="19"/>
              </w:rPr>
            </w:pPr>
          </w:p>
        </w:tc>
        <w:tc>
          <w:tcPr>
            <w:tcW w:w="1375" w:type="dxa"/>
            <w:shd w:val="clear" w:color="auto" w:fill="auto"/>
          </w:tcPr>
          <w:p w:rsidR="00C516AF" w:rsidRPr="00A03747" w:rsidRDefault="00C516AF" w:rsidP="00C05F48">
            <w:pPr>
              <w:pStyle w:val="CM1"/>
              <w:jc w:val="center"/>
              <w:rPr>
                <w:rFonts w:ascii="Cambria" w:hAnsi="Cambria"/>
                <w:sz w:val="19"/>
                <w:szCs w:val="19"/>
              </w:rPr>
            </w:pPr>
          </w:p>
        </w:tc>
      </w:tr>
      <w:bookmarkEnd w:id="1"/>
      <w:tr w:rsidR="00C516AF" w:rsidRPr="00A03747" w:rsidTr="00C05F48">
        <w:trPr>
          <w:cantSplit/>
        </w:trPr>
        <w:tc>
          <w:tcPr>
            <w:tcW w:w="595" w:type="dxa"/>
            <w:shd w:val="clear" w:color="auto" w:fill="auto"/>
            <w:hideMark/>
          </w:tcPr>
          <w:p w:rsidR="00C516AF" w:rsidRPr="00A03747" w:rsidRDefault="00C516AF" w:rsidP="00C05F48">
            <w:pPr>
              <w:pStyle w:val="CM1"/>
              <w:jc w:val="center"/>
              <w:rPr>
                <w:rFonts w:ascii="Cambria" w:hAnsi="Cambria"/>
                <w:sz w:val="19"/>
                <w:szCs w:val="19"/>
              </w:rPr>
            </w:pPr>
            <w:r w:rsidRPr="00A03747">
              <w:rPr>
                <w:rFonts w:ascii="Cambria" w:hAnsi="Cambria"/>
                <w:sz w:val="19"/>
                <w:szCs w:val="19"/>
              </w:rPr>
              <w:t>1.5.</w:t>
            </w:r>
          </w:p>
        </w:tc>
        <w:tc>
          <w:tcPr>
            <w:tcW w:w="6237" w:type="dxa"/>
            <w:shd w:val="clear" w:color="auto" w:fill="auto"/>
            <w:hideMark/>
          </w:tcPr>
          <w:p w:rsidR="00C516AF" w:rsidRPr="00A03747" w:rsidRDefault="00C516AF" w:rsidP="00C05F48">
            <w:pPr>
              <w:pStyle w:val="CM1"/>
              <w:rPr>
                <w:rFonts w:ascii="Cambria" w:hAnsi="Cambria"/>
                <w:iCs/>
                <w:sz w:val="19"/>
                <w:szCs w:val="19"/>
              </w:rPr>
            </w:pPr>
            <w:r w:rsidRPr="00A03747">
              <w:rPr>
                <w:rFonts w:ascii="Cambria" w:hAnsi="Cambria"/>
                <w:iCs/>
                <w:sz w:val="19"/>
                <w:szCs w:val="19"/>
              </w:rPr>
              <w:t>prast izvietot kravu transportlīdzeklī, ievērojot drošības noteikumus un pareizu transportlīdzekļa izmantošanu:</w:t>
            </w:r>
          </w:p>
          <w:p w:rsidR="00C516AF" w:rsidRPr="00A03747" w:rsidRDefault="00C516AF" w:rsidP="00C05F48">
            <w:pPr>
              <w:spacing w:after="0" w:line="240" w:lineRule="auto"/>
              <w:rPr>
                <w:rFonts w:ascii="Cambria" w:hAnsi="Cambria"/>
                <w:iCs/>
                <w:sz w:val="19"/>
                <w:szCs w:val="19"/>
              </w:rPr>
            </w:pPr>
            <w:r w:rsidRPr="00A03747">
              <w:rPr>
                <w:rFonts w:ascii="Cambria" w:hAnsi="Cambria"/>
                <w:iCs/>
                <w:sz w:val="19"/>
                <w:szCs w:val="19"/>
              </w:rPr>
              <w:t>spēki, kas iedarbojas uz braucošu transportlīdzekli, pārnesumkārbas pārnesumu skaitļu izmantošana atbilstoši transportlīdzekļa noslodzei un ceļa profilam, automātisko transmisijas sistēmu lietošana, transportlīdzekļa vai transportlīdzekļu sastāva kravnesības aprēķināšana, kopējā tilpuma aprēķināšana, slodzes sadalījums, ass noslodzes pārsniegšanas sekas, transportlīdzekļa stabilitāte un smaguma centrs, iepakojuma un palešu veidi; galvenās nostiprināmo kravu kategorijas, piestiprināšanas un nostiprināšanas paņēmieni, stiprināšanas siksnu izmantošana, nostiprināšanas ierīču pārbaude, pārkraušanas iekārtu izmantošana, brezenta pārvalka uzlikšana un noņemšana</w:t>
            </w:r>
          </w:p>
        </w:tc>
        <w:tc>
          <w:tcPr>
            <w:tcW w:w="1374" w:type="dxa"/>
            <w:shd w:val="clear" w:color="auto" w:fill="auto"/>
          </w:tcPr>
          <w:p w:rsidR="00C516AF" w:rsidRPr="00A03747" w:rsidRDefault="00C516AF" w:rsidP="00C05F48">
            <w:pPr>
              <w:pStyle w:val="CM1"/>
              <w:jc w:val="center"/>
              <w:rPr>
                <w:rFonts w:ascii="Cambria" w:hAnsi="Cambria"/>
                <w:sz w:val="19"/>
                <w:szCs w:val="19"/>
              </w:rPr>
            </w:pPr>
          </w:p>
        </w:tc>
        <w:tc>
          <w:tcPr>
            <w:tcW w:w="1375" w:type="dxa"/>
            <w:shd w:val="clear" w:color="auto" w:fill="808080"/>
          </w:tcPr>
          <w:p w:rsidR="00C516AF" w:rsidRPr="00A03747" w:rsidRDefault="00C516AF" w:rsidP="00C05F48">
            <w:pPr>
              <w:pStyle w:val="CM1"/>
              <w:jc w:val="center"/>
              <w:rPr>
                <w:rFonts w:ascii="Cambria" w:hAnsi="Cambria"/>
                <w:sz w:val="19"/>
                <w:szCs w:val="19"/>
              </w:rPr>
            </w:pPr>
          </w:p>
        </w:tc>
      </w:tr>
      <w:tr w:rsidR="00C516AF" w:rsidRPr="00A03747" w:rsidTr="00C05F48">
        <w:trPr>
          <w:cantSplit/>
        </w:trPr>
        <w:tc>
          <w:tcPr>
            <w:tcW w:w="595" w:type="dxa"/>
            <w:shd w:val="clear" w:color="auto" w:fill="auto"/>
            <w:hideMark/>
          </w:tcPr>
          <w:p w:rsidR="00C516AF" w:rsidRPr="00A03747" w:rsidRDefault="00C516AF" w:rsidP="00C05F48">
            <w:pPr>
              <w:pStyle w:val="CM1"/>
              <w:jc w:val="center"/>
              <w:rPr>
                <w:rFonts w:ascii="Cambria" w:hAnsi="Cambria"/>
                <w:iCs/>
                <w:sz w:val="19"/>
                <w:szCs w:val="19"/>
              </w:rPr>
            </w:pPr>
            <w:r w:rsidRPr="00A03747">
              <w:rPr>
                <w:rFonts w:ascii="Cambria" w:hAnsi="Cambria"/>
                <w:iCs/>
                <w:sz w:val="19"/>
                <w:szCs w:val="19"/>
              </w:rPr>
              <w:t>1.6.</w:t>
            </w:r>
          </w:p>
        </w:tc>
        <w:tc>
          <w:tcPr>
            <w:tcW w:w="6237" w:type="dxa"/>
            <w:shd w:val="clear" w:color="auto" w:fill="auto"/>
            <w:hideMark/>
          </w:tcPr>
          <w:p w:rsidR="00C516AF" w:rsidRPr="00A03747" w:rsidRDefault="00C516AF" w:rsidP="00C05F48">
            <w:pPr>
              <w:pStyle w:val="CM1"/>
              <w:rPr>
                <w:rFonts w:ascii="Cambria" w:hAnsi="Cambria"/>
                <w:iCs/>
                <w:sz w:val="19"/>
                <w:szCs w:val="19"/>
              </w:rPr>
            </w:pPr>
            <w:r w:rsidRPr="00A03747">
              <w:rPr>
                <w:rFonts w:ascii="Cambria" w:hAnsi="Cambria"/>
                <w:iCs/>
                <w:sz w:val="19"/>
                <w:szCs w:val="19"/>
              </w:rPr>
              <w:t>prast nodrošināt pasažieriem komfortu un drošību:</w:t>
            </w:r>
          </w:p>
          <w:p w:rsidR="00C516AF" w:rsidRPr="00A03747" w:rsidRDefault="00C516AF" w:rsidP="00C05F48">
            <w:pPr>
              <w:pStyle w:val="CM1"/>
              <w:rPr>
                <w:rFonts w:ascii="Cambria" w:hAnsi="Cambria"/>
                <w:iCs/>
                <w:sz w:val="19"/>
                <w:szCs w:val="19"/>
              </w:rPr>
            </w:pPr>
            <w:r w:rsidRPr="00A03747">
              <w:rPr>
                <w:rFonts w:ascii="Cambria" w:hAnsi="Cambria"/>
                <w:iCs/>
                <w:sz w:val="19"/>
                <w:szCs w:val="19"/>
              </w:rPr>
              <w:t xml:space="preserve">garenvirziena kustību un </w:t>
            </w:r>
            <w:proofErr w:type="spellStart"/>
            <w:r w:rsidRPr="00A03747">
              <w:rPr>
                <w:rFonts w:ascii="Cambria" w:hAnsi="Cambria"/>
                <w:iCs/>
                <w:sz w:val="19"/>
                <w:szCs w:val="19"/>
              </w:rPr>
              <w:t>šķērskustību</w:t>
            </w:r>
            <w:proofErr w:type="spellEnd"/>
            <w:r w:rsidRPr="00A03747">
              <w:rPr>
                <w:rFonts w:ascii="Cambria" w:hAnsi="Cambria"/>
                <w:iCs/>
                <w:sz w:val="19"/>
                <w:szCs w:val="19"/>
              </w:rPr>
              <w:t xml:space="preserve"> regulēšana; koplietošanas ceļu izmantošana, izvietošanās uz ceļa, laidena bremzēšana, pārkares ievērošana, īpašu infrastruktūru izmantošana (sabiedriskas vietas, paredzētās braukšanas joslas); grūtības apvienot drošu braukšanu ar citiem vadītāja pienākumiem; saskarsme ar pasažieriem, dažu pasažieru grupu īpašas iezīmes (invalīdi, bērni)</w:t>
            </w:r>
          </w:p>
        </w:tc>
        <w:tc>
          <w:tcPr>
            <w:tcW w:w="1374" w:type="dxa"/>
            <w:shd w:val="clear" w:color="auto" w:fill="808080"/>
          </w:tcPr>
          <w:p w:rsidR="00C516AF" w:rsidRPr="00A03747" w:rsidRDefault="00C516AF" w:rsidP="00C05F48">
            <w:pPr>
              <w:pStyle w:val="CM1"/>
              <w:jc w:val="center"/>
              <w:rPr>
                <w:rFonts w:ascii="Cambria" w:hAnsi="Cambria"/>
                <w:iCs/>
                <w:sz w:val="19"/>
                <w:szCs w:val="19"/>
              </w:rPr>
            </w:pPr>
          </w:p>
        </w:tc>
        <w:tc>
          <w:tcPr>
            <w:tcW w:w="1375" w:type="dxa"/>
            <w:shd w:val="clear" w:color="auto" w:fill="auto"/>
          </w:tcPr>
          <w:p w:rsidR="00C516AF" w:rsidRPr="00A03747" w:rsidRDefault="00C516AF" w:rsidP="00C05F48">
            <w:pPr>
              <w:pStyle w:val="CM1"/>
              <w:jc w:val="center"/>
              <w:rPr>
                <w:rFonts w:ascii="Cambria" w:hAnsi="Cambria"/>
                <w:iCs/>
                <w:sz w:val="19"/>
                <w:szCs w:val="19"/>
              </w:rPr>
            </w:pPr>
          </w:p>
        </w:tc>
      </w:tr>
      <w:tr w:rsidR="00C516AF" w:rsidRPr="00A03747" w:rsidTr="00C05F48">
        <w:trPr>
          <w:cantSplit/>
        </w:trPr>
        <w:tc>
          <w:tcPr>
            <w:tcW w:w="595" w:type="dxa"/>
            <w:shd w:val="clear" w:color="auto" w:fill="auto"/>
          </w:tcPr>
          <w:p w:rsidR="00C516AF" w:rsidRPr="00A03747" w:rsidRDefault="00C516AF" w:rsidP="00C05F48">
            <w:pPr>
              <w:pStyle w:val="CM1"/>
              <w:jc w:val="center"/>
              <w:rPr>
                <w:rFonts w:ascii="Cambria" w:hAnsi="Cambria"/>
                <w:iCs/>
                <w:sz w:val="19"/>
                <w:szCs w:val="19"/>
              </w:rPr>
            </w:pPr>
            <w:r w:rsidRPr="00A03747">
              <w:rPr>
                <w:rFonts w:ascii="Cambria" w:hAnsi="Cambria"/>
                <w:iCs/>
                <w:sz w:val="19"/>
                <w:szCs w:val="19"/>
              </w:rPr>
              <w:t>1.7.</w:t>
            </w:r>
          </w:p>
        </w:tc>
        <w:tc>
          <w:tcPr>
            <w:tcW w:w="6237" w:type="dxa"/>
            <w:shd w:val="clear" w:color="auto" w:fill="auto"/>
          </w:tcPr>
          <w:p w:rsidR="00C516AF" w:rsidRPr="00A03747" w:rsidRDefault="00C516AF" w:rsidP="00C05F48">
            <w:pPr>
              <w:pStyle w:val="CM1"/>
              <w:rPr>
                <w:rFonts w:ascii="Cambria" w:hAnsi="Cambria"/>
                <w:iCs/>
                <w:sz w:val="19"/>
                <w:szCs w:val="19"/>
              </w:rPr>
            </w:pPr>
            <w:r w:rsidRPr="00A03747">
              <w:rPr>
                <w:rFonts w:ascii="Cambria" w:hAnsi="Cambria"/>
                <w:iCs/>
                <w:sz w:val="19"/>
                <w:szCs w:val="19"/>
              </w:rPr>
              <w:t>prast izvietot kravu transportlīdzeklī, ievērojot drošības noteikumus un pareizu transportlīdzekļa izmantošanu:</w:t>
            </w:r>
          </w:p>
          <w:p w:rsidR="00C516AF" w:rsidRPr="00A03747" w:rsidRDefault="00C516AF" w:rsidP="00C05F48">
            <w:pPr>
              <w:pStyle w:val="CM1"/>
              <w:rPr>
                <w:rFonts w:ascii="Cambria" w:hAnsi="Cambria"/>
                <w:iCs/>
                <w:sz w:val="19"/>
                <w:szCs w:val="19"/>
              </w:rPr>
            </w:pPr>
            <w:r w:rsidRPr="00A03747">
              <w:rPr>
                <w:rFonts w:ascii="Cambria" w:hAnsi="Cambria"/>
                <w:iCs/>
                <w:sz w:val="19"/>
                <w:szCs w:val="19"/>
              </w:rPr>
              <w:t>spēki, kas iedarbojas uz braucošu transportlīdzekli, pārnesumkārbas pārnesumu skaitļu izmantošana atbilstoši transportlīdzekļa noslodzei un ceļa profilam, automātisko transmisijas sistēmu lietošana, transportlīdzekļa vai transportlīdzekļu sastāva kravnesības aprēķināšana, slodzes sadalījums, ass noslodzes pārsniegšanas sekas, transportlīdzekļa stabilitāte un smaguma centrs</w:t>
            </w:r>
          </w:p>
        </w:tc>
        <w:tc>
          <w:tcPr>
            <w:tcW w:w="1374" w:type="dxa"/>
            <w:shd w:val="clear" w:color="auto" w:fill="808080"/>
          </w:tcPr>
          <w:p w:rsidR="00C516AF" w:rsidRPr="00A03747" w:rsidRDefault="00C516AF" w:rsidP="00C05F48">
            <w:pPr>
              <w:pStyle w:val="CM1"/>
              <w:jc w:val="center"/>
              <w:rPr>
                <w:rFonts w:ascii="Cambria" w:hAnsi="Cambria"/>
                <w:iCs/>
                <w:sz w:val="19"/>
                <w:szCs w:val="19"/>
              </w:rPr>
            </w:pPr>
          </w:p>
        </w:tc>
        <w:tc>
          <w:tcPr>
            <w:tcW w:w="1375" w:type="dxa"/>
            <w:shd w:val="clear" w:color="auto" w:fill="auto"/>
          </w:tcPr>
          <w:p w:rsidR="00C516AF" w:rsidRPr="00A03747" w:rsidRDefault="00C516AF" w:rsidP="00C05F48">
            <w:pPr>
              <w:pStyle w:val="CM1"/>
              <w:jc w:val="center"/>
              <w:rPr>
                <w:rFonts w:ascii="Cambria" w:hAnsi="Cambria"/>
                <w:iCs/>
                <w:sz w:val="19"/>
                <w:szCs w:val="19"/>
              </w:rPr>
            </w:pPr>
          </w:p>
        </w:tc>
      </w:tr>
      <w:tr w:rsidR="00C516AF" w:rsidRPr="00A03747" w:rsidTr="00C05F48">
        <w:trPr>
          <w:cantSplit/>
        </w:trPr>
        <w:tc>
          <w:tcPr>
            <w:tcW w:w="595" w:type="dxa"/>
            <w:shd w:val="clear" w:color="auto" w:fill="auto"/>
            <w:hideMark/>
          </w:tcPr>
          <w:p w:rsidR="00C516AF" w:rsidRPr="00A03747" w:rsidRDefault="00C516AF" w:rsidP="00C05F48">
            <w:pPr>
              <w:pStyle w:val="CM1"/>
              <w:jc w:val="center"/>
              <w:rPr>
                <w:rFonts w:ascii="Cambria" w:hAnsi="Cambria"/>
                <w:iCs/>
                <w:sz w:val="19"/>
                <w:szCs w:val="19"/>
              </w:rPr>
            </w:pPr>
            <w:r w:rsidRPr="00A03747">
              <w:rPr>
                <w:rFonts w:ascii="Cambria" w:hAnsi="Cambria"/>
                <w:iCs/>
                <w:sz w:val="19"/>
                <w:szCs w:val="19"/>
              </w:rPr>
              <w:t>2.</w:t>
            </w:r>
          </w:p>
        </w:tc>
        <w:tc>
          <w:tcPr>
            <w:tcW w:w="6237" w:type="dxa"/>
            <w:shd w:val="clear" w:color="auto" w:fill="auto"/>
            <w:hideMark/>
          </w:tcPr>
          <w:p w:rsidR="00C516AF" w:rsidRPr="00A03747" w:rsidRDefault="00C516AF" w:rsidP="00C05F48">
            <w:pPr>
              <w:pStyle w:val="CM1"/>
              <w:rPr>
                <w:rFonts w:ascii="Cambria" w:hAnsi="Cambria"/>
                <w:b/>
                <w:iCs/>
                <w:sz w:val="19"/>
                <w:szCs w:val="19"/>
              </w:rPr>
            </w:pPr>
            <w:r w:rsidRPr="00A03747">
              <w:rPr>
                <w:rFonts w:ascii="Cambria" w:hAnsi="Cambria"/>
                <w:b/>
                <w:iCs/>
                <w:sz w:val="19"/>
                <w:szCs w:val="19"/>
              </w:rPr>
              <w:t>Noteikumu piemērošana</w:t>
            </w:r>
          </w:p>
        </w:tc>
        <w:tc>
          <w:tcPr>
            <w:tcW w:w="1374" w:type="dxa"/>
            <w:shd w:val="clear" w:color="auto" w:fill="808080"/>
          </w:tcPr>
          <w:p w:rsidR="00C516AF" w:rsidRPr="00A03747" w:rsidRDefault="00C516AF" w:rsidP="00C05F48">
            <w:pPr>
              <w:pStyle w:val="CM1"/>
              <w:jc w:val="center"/>
              <w:rPr>
                <w:rFonts w:ascii="Cambria" w:hAnsi="Cambria"/>
                <w:iCs/>
                <w:sz w:val="19"/>
                <w:szCs w:val="19"/>
              </w:rPr>
            </w:pPr>
          </w:p>
        </w:tc>
        <w:tc>
          <w:tcPr>
            <w:tcW w:w="1375" w:type="dxa"/>
            <w:shd w:val="clear" w:color="auto" w:fill="808080"/>
          </w:tcPr>
          <w:p w:rsidR="00C516AF" w:rsidRPr="00A03747" w:rsidRDefault="00C516AF" w:rsidP="00C05F48">
            <w:pPr>
              <w:pStyle w:val="CM1"/>
              <w:jc w:val="center"/>
              <w:rPr>
                <w:rFonts w:ascii="Cambria" w:hAnsi="Cambria"/>
                <w:iCs/>
                <w:sz w:val="19"/>
                <w:szCs w:val="19"/>
              </w:rPr>
            </w:pPr>
          </w:p>
        </w:tc>
      </w:tr>
      <w:tr w:rsidR="00C516AF" w:rsidRPr="00A03747" w:rsidTr="00C05F48">
        <w:trPr>
          <w:cantSplit/>
        </w:trPr>
        <w:tc>
          <w:tcPr>
            <w:tcW w:w="595" w:type="dxa"/>
            <w:shd w:val="clear" w:color="auto" w:fill="auto"/>
            <w:hideMark/>
          </w:tcPr>
          <w:p w:rsidR="00C516AF" w:rsidRPr="00A03747" w:rsidRDefault="00C516AF" w:rsidP="00C05F48">
            <w:pPr>
              <w:pStyle w:val="CM1"/>
              <w:jc w:val="center"/>
              <w:rPr>
                <w:rFonts w:ascii="Cambria" w:hAnsi="Cambria"/>
                <w:iCs/>
                <w:sz w:val="19"/>
                <w:szCs w:val="19"/>
              </w:rPr>
            </w:pPr>
            <w:r w:rsidRPr="00A03747">
              <w:rPr>
                <w:rFonts w:ascii="Cambria" w:hAnsi="Cambria"/>
                <w:iCs/>
                <w:sz w:val="19"/>
                <w:szCs w:val="19"/>
              </w:rPr>
              <w:lastRenderedPageBreak/>
              <w:t>2.1.</w:t>
            </w:r>
          </w:p>
        </w:tc>
        <w:tc>
          <w:tcPr>
            <w:tcW w:w="6237" w:type="dxa"/>
            <w:shd w:val="clear" w:color="auto" w:fill="auto"/>
            <w:hideMark/>
          </w:tcPr>
          <w:p w:rsidR="00C516AF" w:rsidRPr="00A03747" w:rsidRDefault="00C516AF" w:rsidP="00C05F48">
            <w:pPr>
              <w:pStyle w:val="CM1"/>
              <w:rPr>
                <w:rFonts w:ascii="Cambria" w:hAnsi="Cambria"/>
                <w:iCs/>
                <w:sz w:val="19"/>
                <w:szCs w:val="19"/>
              </w:rPr>
            </w:pPr>
            <w:r w:rsidRPr="00A03747">
              <w:rPr>
                <w:rFonts w:ascii="Cambria" w:hAnsi="Cambria"/>
                <w:iCs/>
                <w:sz w:val="19"/>
                <w:szCs w:val="19"/>
              </w:rPr>
              <w:t>zināt autotransporta sociālo vidi un to reglamentējošos noteikumus:</w:t>
            </w:r>
          </w:p>
          <w:p w:rsidR="00C516AF" w:rsidRPr="00A03747" w:rsidRDefault="00C516AF" w:rsidP="00C05F48">
            <w:pPr>
              <w:spacing w:after="0" w:line="240" w:lineRule="auto"/>
              <w:rPr>
                <w:rFonts w:ascii="Cambria" w:hAnsi="Cambria"/>
                <w:sz w:val="19"/>
                <w:szCs w:val="19"/>
              </w:rPr>
            </w:pPr>
            <w:r w:rsidRPr="00A03747">
              <w:rPr>
                <w:rFonts w:ascii="Cambria" w:hAnsi="Cambria"/>
                <w:iCs/>
                <w:sz w:val="19"/>
                <w:szCs w:val="19"/>
              </w:rPr>
              <w:t xml:space="preserve">maksimālie darba laika posmi, kas raksturīgi transporta nozarei; </w:t>
            </w:r>
            <w:r w:rsidRPr="00A03747">
              <w:rPr>
                <w:rFonts w:ascii="Cambria" w:hAnsi="Cambria"/>
                <w:sz w:val="19"/>
                <w:szCs w:val="19"/>
              </w:rPr>
              <w:t xml:space="preserve">Eiropas Savienības tiesību akti par darba un atpūtas laikiem un </w:t>
            </w:r>
            <w:proofErr w:type="spellStart"/>
            <w:r w:rsidRPr="00A03747">
              <w:rPr>
                <w:rFonts w:ascii="Cambria" w:hAnsi="Cambria"/>
                <w:sz w:val="19"/>
                <w:szCs w:val="19"/>
              </w:rPr>
              <w:t>tahogrāfu</w:t>
            </w:r>
            <w:proofErr w:type="spellEnd"/>
            <w:r w:rsidRPr="00A03747">
              <w:rPr>
                <w:rFonts w:ascii="Cambria" w:hAnsi="Cambria"/>
                <w:sz w:val="19"/>
                <w:szCs w:val="19"/>
              </w:rPr>
              <w:t xml:space="preserve"> izmantošanu autotransportā</w:t>
            </w:r>
            <w:r w:rsidRPr="00A03747">
              <w:rPr>
                <w:rFonts w:ascii="Cambria" w:hAnsi="Cambria"/>
                <w:iCs/>
                <w:sz w:val="19"/>
                <w:szCs w:val="19"/>
              </w:rPr>
              <w:t xml:space="preserve"> – principi, piemērošana un sekas; sodi par </w:t>
            </w:r>
            <w:proofErr w:type="spellStart"/>
            <w:r w:rsidRPr="00A03747">
              <w:rPr>
                <w:rFonts w:ascii="Cambria" w:hAnsi="Cambria"/>
                <w:iCs/>
                <w:sz w:val="19"/>
                <w:szCs w:val="19"/>
              </w:rPr>
              <w:t>tahogrāfa</w:t>
            </w:r>
            <w:proofErr w:type="spellEnd"/>
            <w:r w:rsidRPr="00A03747">
              <w:rPr>
                <w:rFonts w:ascii="Cambria" w:hAnsi="Cambria"/>
                <w:iCs/>
                <w:sz w:val="19"/>
                <w:szCs w:val="19"/>
              </w:rPr>
              <w:t xml:space="preserve"> neizmantošanu, nepareizu izmantošanu un neatļautām manipulācijām ar to; transportlīdzekļu vadītāju tiesības un pienākumi sākotnējās kvalifikācijas iegūšanas un periodiskās apmācības jomā</w:t>
            </w:r>
          </w:p>
        </w:tc>
        <w:tc>
          <w:tcPr>
            <w:tcW w:w="1374" w:type="dxa"/>
            <w:shd w:val="clear" w:color="auto" w:fill="auto"/>
          </w:tcPr>
          <w:p w:rsidR="00C516AF" w:rsidRPr="00A03747" w:rsidRDefault="00C516AF" w:rsidP="00C05F48">
            <w:pPr>
              <w:pStyle w:val="CM1"/>
              <w:jc w:val="center"/>
              <w:rPr>
                <w:rFonts w:ascii="Cambria" w:hAnsi="Cambria"/>
                <w:iCs/>
                <w:sz w:val="19"/>
                <w:szCs w:val="19"/>
              </w:rPr>
            </w:pPr>
          </w:p>
        </w:tc>
        <w:tc>
          <w:tcPr>
            <w:tcW w:w="1375" w:type="dxa"/>
            <w:shd w:val="clear" w:color="auto" w:fill="auto"/>
          </w:tcPr>
          <w:p w:rsidR="00C516AF" w:rsidRPr="00A03747" w:rsidRDefault="00C516AF" w:rsidP="00C05F48">
            <w:pPr>
              <w:pStyle w:val="CM1"/>
              <w:jc w:val="center"/>
              <w:rPr>
                <w:rFonts w:ascii="Cambria" w:hAnsi="Cambria"/>
                <w:iCs/>
                <w:sz w:val="19"/>
                <w:szCs w:val="19"/>
              </w:rPr>
            </w:pPr>
          </w:p>
        </w:tc>
      </w:tr>
      <w:tr w:rsidR="00C516AF" w:rsidRPr="00A03747" w:rsidTr="00C05F48">
        <w:trPr>
          <w:cantSplit/>
        </w:trPr>
        <w:tc>
          <w:tcPr>
            <w:tcW w:w="595" w:type="dxa"/>
            <w:shd w:val="clear" w:color="auto" w:fill="auto"/>
            <w:hideMark/>
          </w:tcPr>
          <w:p w:rsidR="00C516AF" w:rsidRPr="00A03747" w:rsidRDefault="00C516AF" w:rsidP="00C05F48">
            <w:pPr>
              <w:pStyle w:val="CM1"/>
              <w:jc w:val="center"/>
              <w:rPr>
                <w:rFonts w:ascii="Cambria" w:hAnsi="Cambria"/>
                <w:iCs/>
                <w:sz w:val="19"/>
                <w:szCs w:val="19"/>
              </w:rPr>
            </w:pPr>
            <w:r w:rsidRPr="00A03747">
              <w:rPr>
                <w:rFonts w:ascii="Cambria" w:hAnsi="Cambria"/>
                <w:iCs/>
                <w:sz w:val="19"/>
                <w:szCs w:val="19"/>
              </w:rPr>
              <w:t>2.2.</w:t>
            </w:r>
          </w:p>
        </w:tc>
        <w:tc>
          <w:tcPr>
            <w:tcW w:w="6237" w:type="dxa"/>
            <w:shd w:val="clear" w:color="auto" w:fill="auto"/>
            <w:hideMark/>
          </w:tcPr>
          <w:p w:rsidR="00C516AF" w:rsidRPr="00A03747" w:rsidRDefault="00C516AF" w:rsidP="00C05F48">
            <w:pPr>
              <w:pStyle w:val="CM1"/>
              <w:rPr>
                <w:rFonts w:ascii="Cambria" w:hAnsi="Cambria"/>
                <w:iCs/>
                <w:sz w:val="19"/>
                <w:szCs w:val="19"/>
              </w:rPr>
            </w:pPr>
            <w:r w:rsidRPr="00A03747">
              <w:rPr>
                <w:rFonts w:ascii="Cambria" w:hAnsi="Cambria"/>
                <w:iCs/>
                <w:sz w:val="19"/>
                <w:szCs w:val="19"/>
              </w:rPr>
              <w:t>zināt noteikumus, kas reglamentē kravu pārvadājumus:</w:t>
            </w:r>
          </w:p>
          <w:p w:rsidR="00C516AF" w:rsidRPr="00A03747" w:rsidRDefault="00C516AF" w:rsidP="00C05F48">
            <w:pPr>
              <w:spacing w:after="0" w:line="240" w:lineRule="auto"/>
              <w:rPr>
                <w:rFonts w:ascii="Cambria" w:hAnsi="Cambria"/>
                <w:iCs/>
                <w:sz w:val="19"/>
                <w:szCs w:val="19"/>
              </w:rPr>
            </w:pPr>
            <w:r w:rsidRPr="00A03747">
              <w:rPr>
                <w:rFonts w:ascii="Cambria" w:hAnsi="Cambria"/>
                <w:iCs/>
                <w:sz w:val="19"/>
                <w:szCs w:val="19"/>
              </w:rPr>
              <w:t>licences pārvadājumu veikšanai, dokumenti, kam jābūt transportlīdzeklī; noteiktu ceļu izmantošanas aizliegumi, ceļu nodevas, pienākumi, kas noteikti standarta līgumos par kravu pārvadāšanu; pārvadājuma līguma dokumentu sagatavošana, starptautisko pārvadājumu atļaujas, pienākumi, kas noteikti Konvencijā par starptautisko kravu autopārvadājumu līgumu, starptautiskās kravas pavadzīmes sagatavošana, robežu šķērsošana, kravas ekspeditori, īpaši preču pavaddokumenti</w:t>
            </w:r>
          </w:p>
        </w:tc>
        <w:tc>
          <w:tcPr>
            <w:tcW w:w="1374" w:type="dxa"/>
            <w:shd w:val="clear" w:color="auto" w:fill="auto"/>
          </w:tcPr>
          <w:p w:rsidR="00C516AF" w:rsidRPr="00A03747" w:rsidRDefault="00C516AF" w:rsidP="00C05F48">
            <w:pPr>
              <w:pStyle w:val="CM1"/>
              <w:jc w:val="center"/>
              <w:rPr>
                <w:rFonts w:ascii="Cambria" w:hAnsi="Cambria"/>
                <w:iCs/>
                <w:sz w:val="19"/>
                <w:szCs w:val="19"/>
              </w:rPr>
            </w:pPr>
          </w:p>
        </w:tc>
        <w:tc>
          <w:tcPr>
            <w:tcW w:w="1375" w:type="dxa"/>
            <w:shd w:val="clear" w:color="auto" w:fill="808080"/>
          </w:tcPr>
          <w:p w:rsidR="00C516AF" w:rsidRPr="00A03747" w:rsidRDefault="00C516AF" w:rsidP="00C05F48">
            <w:pPr>
              <w:pStyle w:val="CM1"/>
              <w:jc w:val="center"/>
              <w:rPr>
                <w:rFonts w:ascii="Cambria" w:hAnsi="Cambria"/>
                <w:iCs/>
                <w:sz w:val="19"/>
                <w:szCs w:val="19"/>
              </w:rPr>
            </w:pPr>
          </w:p>
        </w:tc>
      </w:tr>
      <w:tr w:rsidR="00C516AF" w:rsidRPr="00A03747" w:rsidTr="00C05F48">
        <w:trPr>
          <w:cantSplit/>
        </w:trPr>
        <w:tc>
          <w:tcPr>
            <w:tcW w:w="595" w:type="dxa"/>
            <w:shd w:val="clear" w:color="auto" w:fill="auto"/>
            <w:hideMark/>
          </w:tcPr>
          <w:p w:rsidR="00C516AF" w:rsidRPr="00A03747" w:rsidRDefault="00C516AF" w:rsidP="00C05F48">
            <w:pPr>
              <w:pStyle w:val="CM1"/>
              <w:jc w:val="center"/>
              <w:rPr>
                <w:rFonts w:ascii="Cambria" w:hAnsi="Cambria"/>
                <w:iCs/>
                <w:sz w:val="19"/>
                <w:szCs w:val="19"/>
              </w:rPr>
            </w:pPr>
            <w:r w:rsidRPr="00A03747">
              <w:rPr>
                <w:rFonts w:ascii="Cambria" w:hAnsi="Cambria"/>
                <w:iCs/>
                <w:sz w:val="19"/>
                <w:szCs w:val="19"/>
              </w:rPr>
              <w:t>2.3.</w:t>
            </w:r>
          </w:p>
        </w:tc>
        <w:tc>
          <w:tcPr>
            <w:tcW w:w="6237" w:type="dxa"/>
            <w:shd w:val="clear" w:color="auto" w:fill="auto"/>
            <w:hideMark/>
          </w:tcPr>
          <w:p w:rsidR="00C516AF" w:rsidRPr="00A03747" w:rsidRDefault="00C516AF" w:rsidP="00C05F48">
            <w:pPr>
              <w:pStyle w:val="CM1"/>
              <w:rPr>
                <w:rFonts w:ascii="Cambria" w:hAnsi="Cambria"/>
                <w:iCs/>
                <w:sz w:val="19"/>
                <w:szCs w:val="19"/>
              </w:rPr>
            </w:pPr>
            <w:r w:rsidRPr="00A03747">
              <w:rPr>
                <w:rFonts w:ascii="Cambria" w:hAnsi="Cambria"/>
                <w:iCs/>
                <w:sz w:val="19"/>
                <w:szCs w:val="19"/>
              </w:rPr>
              <w:t>zināt noteikumus, kas reglamentē pasažieru pārvadājumus:</w:t>
            </w:r>
          </w:p>
          <w:p w:rsidR="00C516AF" w:rsidRPr="00A03747" w:rsidRDefault="00C516AF" w:rsidP="00C05F48">
            <w:pPr>
              <w:pStyle w:val="CM1"/>
              <w:rPr>
                <w:rFonts w:ascii="Cambria" w:hAnsi="Cambria"/>
                <w:sz w:val="19"/>
                <w:szCs w:val="19"/>
              </w:rPr>
            </w:pPr>
            <w:r w:rsidRPr="00A03747">
              <w:rPr>
                <w:rFonts w:ascii="Cambria" w:hAnsi="Cambria"/>
                <w:iCs/>
                <w:sz w:val="19"/>
                <w:szCs w:val="19"/>
              </w:rPr>
              <w:t>īpašu pasažieru grupu pārvadāšana, drošības aprīkojums autobusos, drošības jostas, transportlīdzekļa noslogojums</w:t>
            </w:r>
          </w:p>
        </w:tc>
        <w:tc>
          <w:tcPr>
            <w:tcW w:w="1374" w:type="dxa"/>
            <w:shd w:val="clear" w:color="auto" w:fill="808080"/>
          </w:tcPr>
          <w:p w:rsidR="00C516AF" w:rsidRPr="00A03747" w:rsidRDefault="00C516AF" w:rsidP="00C05F48">
            <w:pPr>
              <w:pStyle w:val="CM1"/>
              <w:jc w:val="center"/>
              <w:rPr>
                <w:rFonts w:ascii="Cambria" w:hAnsi="Cambria"/>
                <w:iCs/>
                <w:sz w:val="19"/>
                <w:szCs w:val="19"/>
              </w:rPr>
            </w:pPr>
          </w:p>
        </w:tc>
        <w:tc>
          <w:tcPr>
            <w:tcW w:w="1375" w:type="dxa"/>
            <w:shd w:val="clear" w:color="auto" w:fill="auto"/>
          </w:tcPr>
          <w:p w:rsidR="00C516AF" w:rsidRPr="00A03747" w:rsidRDefault="00C516AF" w:rsidP="00C05F48">
            <w:pPr>
              <w:pStyle w:val="CM1"/>
              <w:jc w:val="center"/>
              <w:rPr>
                <w:rFonts w:ascii="Cambria" w:hAnsi="Cambria"/>
                <w:iCs/>
                <w:sz w:val="19"/>
                <w:szCs w:val="19"/>
              </w:rPr>
            </w:pPr>
          </w:p>
        </w:tc>
      </w:tr>
      <w:tr w:rsidR="00C516AF" w:rsidRPr="00A03747" w:rsidTr="00C05F48">
        <w:trPr>
          <w:cantSplit/>
        </w:trPr>
        <w:tc>
          <w:tcPr>
            <w:tcW w:w="595" w:type="dxa"/>
            <w:shd w:val="clear" w:color="auto" w:fill="auto"/>
            <w:hideMark/>
          </w:tcPr>
          <w:p w:rsidR="00C516AF" w:rsidRPr="00A03747" w:rsidRDefault="00C516AF" w:rsidP="00C05F48">
            <w:pPr>
              <w:pStyle w:val="CM1"/>
              <w:jc w:val="center"/>
              <w:rPr>
                <w:rFonts w:ascii="Cambria" w:hAnsi="Cambria"/>
                <w:iCs/>
                <w:sz w:val="19"/>
                <w:szCs w:val="19"/>
              </w:rPr>
            </w:pPr>
            <w:r w:rsidRPr="00A03747">
              <w:rPr>
                <w:rFonts w:ascii="Cambria" w:hAnsi="Cambria"/>
                <w:iCs/>
                <w:sz w:val="19"/>
                <w:szCs w:val="19"/>
              </w:rPr>
              <w:t>3.</w:t>
            </w:r>
          </w:p>
        </w:tc>
        <w:tc>
          <w:tcPr>
            <w:tcW w:w="6237" w:type="dxa"/>
            <w:shd w:val="clear" w:color="auto" w:fill="auto"/>
            <w:hideMark/>
          </w:tcPr>
          <w:p w:rsidR="00C516AF" w:rsidRPr="00A03747" w:rsidRDefault="00C516AF" w:rsidP="00C05F48">
            <w:pPr>
              <w:pStyle w:val="CM1"/>
              <w:rPr>
                <w:rFonts w:ascii="Cambria" w:hAnsi="Cambria"/>
                <w:b/>
                <w:iCs/>
                <w:sz w:val="19"/>
                <w:szCs w:val="19"/>
              </w:rPr>
            </w:pPr>
            <w:r w:rsidRPr="00A03747">
              <w:rPr>
                <w:rFonts w:ascii="Cambria" w:hAnsi="Cambria"/>
                <w:b/>
                <w:iCs/>
                <w:sz w:val="19"/>
                <w:szCs w:val="19"/>
              </w:rPr>
              <w:t>Veselības aizsardzība, satiksmes un vides drošība, pakalpojumi, loģistika</w:t>
            </w:r>
          </w:p>
        </w:tc>
        <w:tc>
          <w:tcPr>
            <w:tcW w:w="1374" w:type="dxa"/>
            <w:shd w:val="clear" w:color="auto" w:fill="808080"/>
          </w:tcPr>
          <w:p w:rsidR="00C516AF" w:rsidRPr="00A03747" w:rsidRDefault="00C516AF" w:rsidP="00C05F48">
            <w:pPr>
              <w:pStyle w:val="CM1"/>
              <w:jc w:val="center"/>
              <w:rPr>
                <w:rFonts w:ascii="Cambria" w:hAnsi="Cambria"/>
                <w:iCs/>
                <w:sz w:val="19"/>
                <w:szCs w:val="19"/>
              </w:rPr>
            </w:pPr>
          </w:p>
        </w:tc>
        <w:tc>
          <w:tcPr>
            <w:tcW w:w="1375" w:type="dxa"/>
            <w:shd w:val="clear" w:color="auto" w:fill="808080"/>
          </w:tcPr>
          <w:p w:rsidR="00C516AF" w:rsidRPr="00A03747" w:rsidRDefault="00C516AF" w:rsidP="00C05F48">
            <w:pPr>
              <w:pStyle w:val="CM1"/>
              <w:jc w:val="center"/>
              <w:rPr>
                <w:rFonts w:ascii="Cambria" w:hAnsi="Cambria"/>
                <w:iCs/>
                <w:sz w:val="19"/>
                <w:szCs w:val="19"/>
              </w:rPr>
            </w:pPr>
          </w:p>
        </w:tc>
      </w:tr>
      <w:tr w:rsidR="00C516AF" w:rsidRPr="00A03747" w:rsidTr="00C05F48">
        <w:trPr>
          <w:cantSplit/>
        </w:trPr>
        <w:tc>
          <w:tcPr>
            <w:tcW w:w="595" w:type="dxa"/>
            <w:shd w:val="clear" w:color="auto" w:fill="auto"/>
            <w:hideMark/>
          </w:tcPr>
          <w:p w:rsidR="00C516AF" w:rsidRPr="00A03747" w:rsidRDefault="00C516AF" w:rsidP="00C05F48">
            <w:pPr>
              <w:pStyle w:val="CM1"/>
              <w:jc w:val="center"/>
              <w:rPr>
                <w:rFonts w:ascii="Cambria" w:hAnsi="Cambria"/>
                <w:iCs/>
                <w:sz w:val="19"/>
                <w:szCs w:val="19"/>
              </w:rPr>
            </w:pPr>
            <w:r w:rsidRPr="00A03747">
              <w:rPr>
                <w:rFonts w:ascii="Cambria" w:hAnsi="Cambria"/>
                <w:iCs/>
                <w:sz w:val="19"/>
                <w:szCs w:val="19"/>
              </w:rPr>
              <w:t>3.1.</w:t>
            </w:r>
          </w:p>
        </w:tc>
        <w:tc>
          <w:tcPr>
            <w:tcW w:w="6237" w:type="dxa"/>
            <w:shd w:val="clear" w:color="auto" w:fill="auto"/>
            <w:hideMark/>
          </w:tcPr>
          <w:p w:rsidR="00C516AF" w:rsidRPr="00A03747" w:rsidRDefault="00C516AF" w:rsidP="00C05F48">
            <w:pPr>
              <w:pStyle w:val="CM1"/>
              <w:rPr>
                <w:rFonts w:ascii="Cambria" w:hAnsi="Cambria"/>
                <w:iCs/>
                <w:sz w:val="19"/>
                <w:szCs w:val="19"/>
              </w:rPr>
            </w:pPr>
            <w:r w:rsidRPr="00A03747">
              <w:rPr>
                <w:rFonts w:ascii="Cambria" w:hAnsi="Cambria"/>
                <w:iCs/>
                <w:sz w:val="19"/>
                <w:szCs w:val="19"/>
              </w:rPr>
              <w:t>apzināties ceļu satiksmes negadījumu risku un nelaimes gadījumu iespējamību darbā:</w:t>
            </w:r>
          </w:p>
          <w:p w:rsidR="00C516AF" w:rsidRPr="00A03747" w:rsidRDefault="00C516AF" w:rsidP="00C05F48">
            <w:pPr>
              <w:spacing w:after="0" w:line="240" w:lineRule="auto"/>
              <w:rPr>
                <w:rFonts w:ascii="Cambria" w:hAnsi="Cambria"/>
                <w:sz w:val="19"/>
                <w:szCs w:val="19"/>
              </w:rPr>
            </w:pPr>
            <w:r w:rsidRPr="00A03747">
              <w:rPr>
                <w:rFonts w:ascii="Cambria" w:hAnsi="Cambria"/>
                <w:iCs/>
                <w:sz w:val="19"/>
                <w:szCs w:val="19"/>
              </w:rPr>
              <w:t>nelaimes gadījumu veidi darbā transporta nozarē, ceļu satiksmes negadījumu statistika, negadījumi ar kravas automobiļiem/autobusiem, cilvēku dzīvības, materiālie un finansiālie zaudējumi</w:t>
            </w:r>
          </w:p>
        </w:tc>
        <w:tc>
          <w:tcPr>
            <w:tcW w:w="1374" w:type="dxa"/>
            <w:shd w:val="clear" w:color="auto" w:fill="auto"/>
          </w:tcPr>
          <w:p w:rsidR="00C516AF" w:rsidRPr="00A03747" w:rsidRDefault="00C516AF" w:rsidP="00C05F48">
            <w:pPr>
              <w:pStyle w:val="CM1"/>
              <w:jc w:val="center"/>
              <w:rPr>
                <w:rFonts w:ascii="Cambria" w:hAnsi="Cambria"/>
                <w:iCs/>
                <w:sz w:val="19"/>
                <w:szCs w:val="19"/>
              </w:rPr>
            </w:pPr>
          </w:p>
        </w:tc>
        <w:tc>
          <w:tcPr>
            <w:tcW w:w="1375" w:type="dxa"/>
            <w:shd w:val="clear" w:color="auto" w:fill="auto"/>
          </w:tcPr>
          <w:p w:rsidR="00C516AF" w:rsidRPr="00A03747" w:rsidRDefault="00C516AF" w:rsidP="00C05F48">
            <w:pPr>
              <w:pStyle w:val="CM1"/>
              <w:jc w:val="center"/>
              <w:rPr>
                <w:rFonts w:ascii="Cambria" w:hAnsi="Cambria"/>
                <w:iCs/>
                <w:sz w:val="19"/>
                <w:szCs w:val="19"/>
              </w:rPr>
            </w:pPr>
          </w:p>
        </w:tc>
      </w:tr>
      <w:tr w:rsidR="00C516AF" w:rsidRPr="00A03747" w:rsidTr="00C05F48">
        <w:trPr>
          <w:cantSplit/>
        </w:trPr>
        <w:tc>
          <w:tcPr>
            <w:tcW w:w="595" w:type="dxa"/>
            <w:shd w:val="clear" w:color="auto" w:fill="auto"/>
            <w:hideMark/>
          </w:tcPr>
          <w:p w:rsidR="00C516AF" w:rsidRPr="00A03747" w:rsidRDefault="00C516AF" w:rsidP="00C05F48">
            <w:pPr>
              <w:pStyle w:val="CM1"/>
              <w:jc w:val="center"/>
              <w:rPr>
                <w:rFonts w:ascii="Cambria" w:hAnsi="Cambria"/>
                <w:iCs/>
                <w:sz w:val="19"/>
                <w:szCs w:val="19"/>
              </w:rPr>
            </w:pPr>
            <w:r w:rsidRPr="00A03747">
              <w:rPr>
                <w:rFonts w:ascii="Cambria" w:hAnsi="Cambria"/>
                <w:iCs/>
                <w:sz w:val="19"/>
                <w:szCs w:val="19"/>
              </w:rPr>
              <w:t>3.2.</w:t>
            </w:r>
          </w:p>
        </w:tc>
        <w:tc>
          <w:tcPr>
            <w:tcW w:w="6237" w:type="dxa"/>
            <w:shd w:val="clear" w:color="auto" w:fill="auto"/>
            <w:hideMark/>
          </w:tcPr>
          <w:p w:rsidR="00C516AF" w:rsidRPr="00A03747" w:rsidRDefault="00C516AF" w:rsidP="00C05F48">
            <w:pPr>
              <w:pStyle w:val="CM1"/>
              <w:rPr>
                <w:rFonts w:ascii="Cambria" w:hAnsi="Cambria"/>
                <w:iCs/>
                <w:sz w:val="19"/>
                <w:szCs w:val="19"/>
              </w:rPr>
            </w:pPr>
            <w:r w:rsidRPr="00A03747">
              <w:rPr>
                <w:rFonts w:ascii="Cambria" w:hAnsi="Cambria"/>
                <w:iCs/>
                <w:sz w:val="19"/>
                <w:szCs w:val="19"/>
              </w:rPr>
              <w:t>prast novērst noziedzību un nelegālo imigrāciju:</w:t>
            </w:r>
          </w:p>
          <w:p w:rsidR="00C516AF" w:rsidRPr="00A03747" w:rsidRDefault="00C516AF" w:rsidP="00C05F48">
            <w:pPr>
              <w:pStyle w:val="CM1"/>
              <w:rPr>
                <w:rFonts w:ascii="Cambria" w:hAnsi="Cambria"/>
                <w:iCs/>
                <w:sz w:val="19"/>
                <w:szCs w:val="19"/>
              </w:rPr>
            </w:pPr>
            <w:r w:rsidRPr="00A03747">
              <w:rPr>
                <w:rFonts w:ascii="Cambria" w:hAnsi="Cambria"/>
                <w:iCs/>
                <w:sz w:val="19"/>
                <w:szCs w:val="19"/>
              </w:rPr>
              <w:t>vispārīgas ziņas, ietekme uz vadītājiem, preventīvie pasākumi, pārbaudes punktu saraksts, tiesību akti par pārvadātāju atbildību</w:t>
            </w:r>
          </w:p>
        </w:tc>
        <w:tc>
          <w:tcPr>
            <w:tcW w:w="1374" w:type="dxa"/>
            <w:shd w:val="clear" w:color="auto" w:fill="auto"/>
          </w:tcPr>
          <w:p w:rsidR="00C516AF" w:rsidRPr="00A03747" w:rsidRDefault="00C516AF" w:rsidP="00C05F48">
            <w:pPr>
              <w:pStyle w:val="CM1"/>
              <w:jc w:val="center"/>
              <w:rPr>
                <w:rFonts w:ascii="Cambria" w:hAnsi="Cambria"/>
                <w:iCs/>
                <w:sz w:val="19"/>
                <w:szCs w:val="19"/>
              </w:rPr>
            </w:pPr>
          </w:p>
        </w:tc>
        <w:tc>
          <w:tcPr>
            <w:tcW w:w="1375" w:type="dxa"/>
            <w:shd w:val="clear" w:color="auto" w:fill="auto"/>
          </w:tcPr>
          <w:p w:rsidR="00C516AF" w:rsidRPr="00A03747" w:rsidRDefault="00C516AF" w:rsidP="00C05F48">
            <w:pPr>
              <w:pStyle w:val="CM1"/>
              <w:jc w:val="center"/>
              <w:rPr>
                <w:rFonts w:ascii="Cambria" w:hAnsi="Cambria"/>
                <w:iCs/>
                <w:sz w:val="19"/>
                <w:szCs w:val="19"/>
              </w:rPr>
            </w:pPr>
          </w:p>
        </w:tc>
      </w:tr>
      <w:tr w:rsidR="00C516AF" w:rsidRPr="00A03747" w:rsidTr="00C05F48">
        <w:trPr>
          <w:cantSplit/>
        </w:trPr>
        <w:tc>
          <w:tcPr>
            <w:tcW w:w="595" w:type="dxa"/>
            <w:shd w:val="clear" w:color="auto" w:fill="auto"/>
            <w:hideMark/>
          </w:tcPr>
          <w:p w:rsidR="00C516AF" w:rsidRPr="00A03747" w:rsidRDefault="00C516AF" w:rsidP="00C05F48">
            <w:pPr>
              <w:pStyle w:val="CM1"/>
              <w:jc w:val="center"/>
              <w:rPr>
                <w:rFonts w:ascii="Cambria" w:hAnsi="Cambria"/>
                <w:iCs/>
                <w:sz w:val="19"/>
                <w:szCs w:val="19"/>
              </w:rPr>
            </w:pPr>
            <w:r w:rsidRPr="00A03747">
              <w:rPr>
                <w:rFonts w:ascii="Cambria" w:hAnsi="Cambria"/>
                <w:iCs/>
                <w:sz w:val="19"/>
                <w:szCs w:val="19"/>
              </w:rPr>
              <w:t>3.3.</w:t>
            </w:r>
          </w:p>
        </w:tc>
        <w:tc>
          <w:tcPr>
            <w:tcW w:w="6237" w:type="dxa"/>
            <w:shd w:val="clear" w:color="auto" w:fill="auto"/>
            <w:hideMark/>
          </w:tcPr>
          <w:p w:rsidR="00C516AF" w:rsidRPr="00A03747" w:rsidRDefault="00C516AF" w:rsidP="00C05F48">
            <w:pPr>
              <w:pStyle w:val="CM1"/>
              <w:rPr>
                <w:rFonts w:ascii="Cambria" w:hAnsi="Cambria"/>
                <w:iCs/>
                <w:sz w:val="19"/>
                <w:szCs w:val="19"/>
              </w:rPr>
            </w:pPr>
            <w:r w:rsidRPr="00A03747">
              <w:rPr>
                <w:rFonts w:ascii="Cambria" w:hAnsi="Cambria"/>
                <w:iCs/>
                <w:sz w:val="19"/>
                <w:szCs w:val="19"/>
              </w:rPr>
              <w:t>prast novērst fizisku risku:</w:t>
            </w:r>
          </w:p>
          <w:p w:rsidR="00C516AF" w:rsidRPr="00A03747" w:rsidRDefault="00C516AF" w:rsidP="00C05F48">
            <w:pPr>
              <w:spacing w:after="0" w:line="240" w:lineRule="auto"/>
              <w:rPr>
                <w:rFonts w:ascii="Cambria" w:hAnsi="Cambria"/>
                <w:sz w:val="19"/>
                <w:szCs w:val="19"/>
              </w:rPr>
            </w:pPr>
            <w:r w:rsidRPr="00A03747">
              <w:rPr>
                <w:rFonts w:ascii="Cambria" w:hAnsi="Cambria"/>
                <w:iCs/>
                <w:sz w:val="19"/>
                <w:szCs w:val="19"/>
              </w:rPr>
              <w:t>ergonomikas principi, riskantas kustības un pozas, fiziskais stāvoklis, manevrēšanas vingrinājumi, individuālā aizsardzība</w:t>
            </w:r>
          </w:p>
        </w:tc>
        <w:tc>
          <w:tcPr>
            <w:tcW w:w="1374" w:type="dxa"/>
            <w:shd w:val="clear" w:color="auto" w:fill="auto"/>
          </w:tcPr>
          <w:p w:rsidR="00C516AF" w:rsidRPr="00A03747" w:rsidRDefault="00C516AF" w:rsidP="00C05F48">
            <w:pPr>
              <w:pStyle w:val="CM1"/>
              <w:jc w:val="center"/>
              <w:rPr>
                <w:rFonts w:ascii="Cambria" w:hAnsi="Cambria"/>
                <w:iCs/>
                <w:sz w:val="19"/>
                <w:szCs w:val="19"/>
              </w:rPr>
            </w:pPr>
          </w:p>
        </w:tc>
        <w:tc>
          <w:tcPr>
            <w:tcW w:w="1375" w:type="dxa"/>
            <w:shd w:val="clear" w:color="auto" w:fill="auto"/>
          </w:tcPr>
          <w:p w:rsidR="00C516AF" w:rsidRPr="00A03747" w:rsidRDefault="00C516AF" w:rsidP="00C05F48">
            <w:pPr>
              <w:pStyle w:val="CM1"/>
              <w:jc w:val="center"/>
              <w:rPr>
                <w:rFonts w:ascii="Cambria" w:hAnsi="Cambria"/>
                <w:iCs/>
                <w:sz w:val="19"/>
                <w:szCs w:val="19"/>
              </w:rPr>
            </w:pPr>
          </w:p>
        </w:tc>
      </w:tr>
      <w:tr w:rsidR="00C516AF" w:rsidRPr="00A03747" w:rsidTr="00C05F48">
        <w:trPr>
          <w:cantSplit/>
        </w:trPr>
        <w:tc>
          <w:tcPr>
            <w:tcW w:w="595" w:type="dxa"/>
            <w:shd w:val="clear" w:color="auto" w:fill="auto"/>
            <w:hideMark/>
          </w:tcPr>
          <w:p w:rsidR="00C516AF" w:rsidRPr="00A03747" w:rsidRDefault="00C516AF" w:rsidP="00C05F48">
            <w:pPr>
              <w:pStyle w:val="CM1"/>
              <w:jc w:val="center"/>
              <w:rPr>
                <w:rFonts w:ascii="Cambria" w:hAnsi="Cambria"/>
                <w:iCs/>
                <w:sz w:val="19"/>
                <w:szCs w:val="19"/>
              </w:rPr>
            </w:pPr>
            <w:r w:rsidRPr="00A03747">
              <w:rPr>
                <w:rFonts w:ascii="Cambria" w:hAnsi="Cambria"/>
                <w:iCs/>
                <w:sz w:val="19"/>
                <w:szCs w:val="19"/>
              </w:rPr>
              <w:t>3.4.</w:t>
            </w:r>
          </w:p>
        </w:tc>
        <w:tc>
          <w:tcPr>
            <w:tcW w:w="6237" w:type="dxa"/>
            <w:shd w:val="clear" w:color="auto" w:fill="auto"/>
            <w:hideMark/>
          </w:tcPr>
          <w:p w:rsidR="00C516AF" w:rsidRPr="00A03747" w:rsidRDefault="00C516AF" w:rsidP="00C05F48">
            <w:pPr>
              <w:pStyle w:val="CM1"/>
              <w:rPr>
                <w:rFonts w:ascii="Cambria" w:hAnsi="Cambria"/>
                <w:iCs/>
                <w:sz w:val="19"/>
                <w:szCs w:val="19"/>
              </w:rPr>
            </w:pPr>
            <w:r w:rsidRPr="00A03747">
              <w:rPr>
                <w:rFonts w:ascii="Cambria" w:hAnsi="Cambria"/>
                <w:iCs/>
                <w:sz w:val="19"/>
                <w:szCs w:val="19"/>
              </w:rPr>
              <w:t>apzināties fizisko un garīgo spēju svarīgumu:</w:t>
            </w:r>
          </w:p>
          <w:p w:rsidR="00C516AF" w:rsidRPr="00A03747" w:rsidRDefault="00C516AF" w:rsidP="00C05F48">
            <w:pPr>
              <w:pStyle w:val="CM1"/>
              <w:rPr>
                <w:rFonts w:ascii="Cambria" w:hAnsi="Cambria"/>
                <w:iCs/>
                <w:sz w:val="19"/>
                <w:szCs w:val="19"/>
              </w:rPr>
            </w:pPr>
            <w:r w:rsidRPr="00A03747">
              <w:rPr>
                <w:rFonts w:ascii="Cambria" w:hAnsi="Cambria"/>
                <w:iCs/>
                <w:sz w:val="19"/>
                <w:szCs w:val="19"/>
              </w:rPr>
              <w:t>veselīga, sabalansēta uztura lietošanas principi, alkohola, narkotisko un psihotropo vielu vai citu uzvedību ietekmējošu vielu ietekme, noguruma un stresa pazīmes, iemesli, sekas, darba/atpūtas pamata cikla svarīgums</w:t>
            </w:r>
          </w:p>
        </w:tc>
        <w:tc>
          <w:tcPr>
            <w:tcW w:w="1374" w:type="dxa"/>
            <w:shd w:val="clear" w:color="auto" w:fill="auto"/>
          </w:tcPr>
          <w:p w:rsidR="00C516AF" w:rsidRPr="00A03747" w:rsidRDefault="00C516AF" w:rsidP="00C05F48">
            <w:pPr>
              <w:pStyle w:val="CM1"/>
              <w:jc w:val="center"/>
              <w:rPr>
                <w:rFonts w:ascii="Cambria" w:hAnsi="Cambria"/>
                <w:iCs/>
                <w:sz w:val="19"/>
                <w:szCs w:val="19"/>
              </w:rPr>
            </w:pPr>
          </w:p>
        </w:tc>
        <w:tc>
          <w:tcPr>
            <w:tcW w:w="1375" w:type="dxa"/>
            <w:shd w:val="clear" w:color="auto" w:fill="auto"/>
          </w:tcPr>
          <w:p w:rsidR="00C516AF" w:rsidRPr="00A03747" w:rsidRDefault="00C516AF" w:rsidP="00C05F48">
            <w:pPr>
              <w:pStyle w:val="CM1"/>
              <w:jc w:val="center"/>
              <w:rPr>
                <w:rFonts w:ascii="Cambria" w:hAnsi="Cambria"/>
                <w:iCs/>
                <w:sz w:val="19"/>
                <w:szCs w:val="19"/>
              </w:rPr>
            </w:pPr>
          </w:p>
        </w:tc>
      </w:tr>
      <w:tr w:rsidR="00C516AF" w:rsidRPr="00A03747" w:rsidTr="00C05F48">
        <w:trPr>
          <w:cantSplit/>
        </w:trPr>
        <w:tc>
          <w:tcPr>
            <w:tcW w:w="595" w:type="dxa"/>
            <w:shd w:val="clear" w:color="auto" w:fill="auto"/>
            <w:hideMark/>
          </w:tcPr>
          <w:p w:rsidR="00C516AF" w:rsidRPr="00A03747" w:rsidRDefault="00C516AF" w:rsidP="00C05F48">
            <w:pPr>
              <w:pStyle w:val="CM1"/>
              <w:jc w:val="center"/>
              <w:rPr>
                <w:rFonts w:ascii="Cambria" w:hAnsi="Cambria"/>
                <w:iCs/>
                <w:sz w:val="19"/>
                <w:szCs w:val="19"/>
              </w:rPr>
            </w:pPr>
            <w:r w:rsidRPr="00A03747">
              <w:rPr>
                <w:rFonts w:ascii="Cambria" w:hAnsi="Cambria"/>
                <w:iCs/>
                <w:sz w:val="19"/>
                <w:szCs w:val="19"/>
              </w:rPr>
              <w:t>3.5.</w:t>
            </w:r>
          </w:p>
        </w:tc>
        <w:tc>
          <w:tcPr>
            <w:tcW w:w="6237" w:type="dxa"/>
            <w:shd w:val="clear" w:color="auto" w:fill="auto"/>
            <w:hideMark/>
          </w:tcPr>
          <w:p w:rsidR="00C516AF" w:rsidRPr="00A03747" w:rsidRDefault="00C516AF" w:rsidP="00C05F48">
            <w:pPr>
              <w:pStyle w:val="CM1"/>
              <w:rPr>
                <w:rFonts w:ascii="Cambria" w:hAnsi="Cambria"/>
                <w:iCs/>
                <w:sz w:val="19"/>
                <w:szCs w:val="19"/>
              </w:rPr>
            </w:pPr>
            <w:r w:rsidRPr="00A03747">
              <w:rPr>
                <w:rFonts w:ascii="Cambria" w:hAnsi="Cambria"/>
                <w:iCs/>
                <w:sz w:val="19"/>
                <w:szCs w:val="19"/>
              </w:rPr>
              <w:t>spēt novērtēt avārijas situācijas:</w:t>
            </w:r>
          </w:p>
          <w:p w:rsidR="00C516AF" w:rsidRPr="00A03747" w:rsidRDefault="00C516AF" w:rsidP="00C05F48">
            <w:pPr>
              <w:spacing w:after="0" w:line="240" w:lineRule="auto"/>
              <w:rPr>
                <w:rFonts w:ascii="Cambria" w:hAnsi="Cambria"/>
                <w:iCs/>
                <w:sz w:val="19"/>
                <w:szCs w:val="19"/>
              </w:rPr>
            </w:pPr>
            <w:r w:rsidRPr="00A03747">
              <w:rPr>
                <w:rFonts w:ascii="Cambria" w:hAnsi="Cambria"/>
                <w:iCs/>
                <w:sz w:val="19"/>
                <w:szCs w:val="19"/>
              </w:rPr>
              <w:t>izturēšanās avārijas situācijās: situācijas novērtēšana, izvairīšanās no sarežģījumiem negadījumā, palīdzības izsaukšana, palīdzība cietušajiem un pirmās palīdzības sniegšana, reakcija ugunsgrēka gadījumā, kravas automobilī esošu personu/autobusa pasažieru evakuācija, visu pasažieru drošība, reakcija agresijas gadījumā, negadījuma protokola sagatavošanas pamatprincipi</w:t>
            </w:r>
          </w:p>
        </w:tc>
        <w:tc>
          <w:tcPr>
            <w:tcW w:w="1374" w:type="dxa"/>
            <w:shd w:val="clear" w:color="auto" w:fill="auto"/>
          </w:tcPr>
          <w:p w:rsidR="00C516AF" w:rsidRPr="00A03747" w:rsidRDefault="00C516AF" w:rsidP="00C05F48">
            <w:pPr>
              <w:pStyle w:val="CM1"/>
              <w:jc w:val="center"/>
              <w:rPr>
                <w:rFonts w:ascii="Cambria" w:hAnsi="Cambria"/>
                <w:iCs/>
                <w:sz w:val="19"/>
                <w:szCs w:val="19"/>
              </w:rPr>
            </w:pPr>
          </w:p>
        </w:tc>
        <w:tc>
          <w:tcPr>
            <w:tcW w:w="1375" w:type="dxa"/>
            <w:shd w:val="clear" w:color="auto" w:fill="auto"/>
          </w:tcPr>
          <w:p w:rsidR="00C516AF" w:rsidRPr="00A03747" w:rsidRDefault="00C516AF" w:rsidP="00C05F48">
            <w:pPr>
              <w:pStyle w:val="CM1"/>
              <w:jc w:val="center"/>
              <w:rPr>
                <w:rFonts w:ascii="Cambria" w:hAnsi="Cambria"/>
                <w:iCs/>
                <w:sz w:val="19"/>
                <w:szCs w:val="19"/>
              </w:rPr>
            </w:pPr>
          </w:p>
        </w:tc>
      </w:tr>
      <w:tr w:rsidR="00C516AF" w:rsidRPr="00A03747" w:rsidTr="00C05F48">
        <w:trPr>
          <w:cantSplit/>
        </w:trPr>
        <w:tc>
          <w:tcPr>
            <w:tcW w:w="595" w:type="dxa"/>
            <w:shd w:val="clear" w:color="auto" w:fill="auto"/>
            <w:hideMark/>
          </w:tcPr>
          <w:p w:rsidR="00C516AF" w:rsidRPr="00A03747" w:rsidRDefault="00C516AF" w:rsidP="00C05F48">
            <w:pPr>
              <w:pStyle w:val="CM1"/>
              <w:jc w:val="center"/>
              <w:rPr>
                <w:rFonts w:ascii="Cambria" w:hAnsi="Cambria"/>
                <w:iCs/>
                <w:sz w:val="19"/>
                <w:szCs w:val="19"/>
              </w:rPr>
            </w:pPr>
            <w:r w:rsidRPr="00A03747">
              <w:rPr>
                <w:rFonts w:ascii="Cambria" w:hAnsi="Cambria"/>
                <w:iCs/>
                <w:sz w:val="19"/>
                <w:szCs w:val="19"/>
              </w:rPr>
              <w:t>3.6.</w:t>
            </w:r>
          </w:p>
        </w:tc>
        <w:tc>
          <w:tcPr>
            <w:tcW w:w="6237" w:type="dxa"/>
            <w:shd w:val="clear" w:color="auto" w:fill="auto"/>
            <w:hideMark/>
          </w:tcPr>
          <w:p w:rsidR="00C516AF" w:rsidRPr="00A03747" w:rsidRDefault="00C516AF" w:rsidP="00C05F48">
            <w:pPr>
              <w:pStyle w:val="CM4"/>
              <w:rPr>
                <w:rFonts w:ascii="Cambria" w:hAnsi="Cambria"/>
                <w:iCs/>
                <w:sz w:val="19"/>
                <w:szCs w:val="19"/>
              </w:rPr>
            </w:pPr>
            <w:r w:rsidRPr="00A03747">
              <w:rPr>
                <w:rFonts w:ascii="Cambria" w:hAnsi="Cambria"/>
                <w:iCs/>
                <w:sz w:val="19"/>
                <w:szCs w:val="19"/>
              </w:rPr>
              <w:t>zināt, kā atbilstoši rīkoties, palīdzot veidot pozitīvu uzņēmuma tēlu:</w:t>
            </w:r>
          </w:p>
          <w:p w:rsidR="00C516AF" w:rsidRPr="00A03747" w:rsidRDefault="00C516AF" w:rsidP="00C05F48">
            <w:pPr>
              <w:pStyle w:val="CM1"/>
              <w:rPr>
                <w:rFonts w:ascii="Cambria" w:hAnsi="Cambria"/>
                <w:iCs/>
                <w:sz w:val="19"/>
                <w:szCs w:val="19"/>
              </w:rPr>
            </w:pPr>
            <w:r w:rsidRPr="00A03747">
              <w:rPr>
                <w:rFonts w:ascii="Cambria" w:hAnsi="Cambria"/>
                <w:iCs/>
                <w:sz w:val="19"/>
                <w:szCs w:val="19"/>
              </w:rPr>
              <w:t>vadītāja rīcība un uzņēmuma tēls: vadītāja sniegto pakalpojumu standarta svarīgā loma uzņēmuma darbā, vadītāja pienākumi, cilvēki, ar ko vadītājam būs darīšana, transportlīdzekļa apkope, darba organizācija, domstarpību saimnieciskās un finansiālās sekas</w:t>
            </w:r>
          </w:p>
        </w:tc>
        <w:tc>
          <w:tcPr>
            <w:tcW w:w="1374" w:type="dxa"/>
            <w:shd w:val="clear" w:color="auto" w:fill="auto"/>
          </w:tcPr>
          <w:p w:rsidR="00C516AF" w:rsidRPr="00A03747" w:rsidRDefault="00C516AF" w:rsidP="00C05F48">
            <w:pPr>
              <w:pStyle w:val="CM1"/>
              <w:jc w:val="center"/>
              <w:rPr>
                <w:rFonts w:ascii="Cambria" w:hAnsi="Cambria"/>
                <w:iCs/>
                <w:sz w:val="19"/>
                <w:szCs w:val="19"/>
              </w:rPr>
            </w:pPr>
          </w:p>
        </w:tc>
        <w:tc>
          <w:tcPr>
            <w:tcW w:w="1375" w:type="dxa"/>
            <w:shd w:val="clear" w:color="auto" w:fill="auto"/>
          </w:tcPr>
          <w:p w:rsidR="00C516AF" w:rsidRPr="00A03747" w:rsidRDefault="00C516AF" w:rsidP="00C05F48">
            <w:pPr>
              <w:pStyle w:val="CM1"/>
              <w:jc w:val="center"/>
              <w:rPr>
                <w:rFonts w:ascii="Cambria" w:hAnsi="Cambria"/>
                <w:iCs/>
                <w:sz w:val="19"/>
                <w:szCs w:val="19"/>
              </w:rPr>
            </w:pPr>
          </w:p>
        </w:tc>
      </w:tr>
      <w:tr w:rsidR="00C516AF" w:rsidRPr="00A03747" w:rsidTr="00C05F48">
        <w:trPr>
          <w:cantSplit/>
        </w:trPr>
        <w:tc>
          <w:tcPr>
            <w:tcW w:w="595" w:type="dxa"/>
            <w:shd w:val="clear" w:color="auto" w:fill="auto"/>
            <w:hideMark/>
          </w:tcPr>
          <w:p w:rsidR="00C516AF" w:rsidRPr="00A03747" w:rsidRDefault="00C516AF" w:rsidP="00C05F48">
            <w:pPr>
              <w:pStyle w:val="CM1"/>
              <w:jc w:val="center"/>
              <w:rPr>
                <w:rFonts w:ascii="Cambria" w:hAnsi="Cambria"/>
                <w:iCs/>
                <w:sz w:val="19"/>
                <w:szCs w:val="19"/>
              </w:rPr>
            </w:pPr>
            <w:r w:rsidRPr="00A03747">
              <w:rPr>
                <w:rFonts w:ascii="Cambria" w:hAnsi="Cambria"/>
                <w:iCs/>
                <w:sz w:val="19"/>
                <w:szCs w:val="19"/>
              </w:rPr>
              <w:lastRenderedPageBreak/>
              <w:t>3.7.</w:t>
            </w:r>
          </w:p>
        </w:tc>
        <w:tc>
          <w:tcPr>
            <w:tcW w:w="6237" w:type="dxa"/>
            <w:shd w:val="clear" w:color="auto" w:fill="auto"/>
            <w:hideMark/>
          </w:tcPr>
          <w:p w:rsidR="00C516AF" w:rsidRPr="00A03747" w:rsidRDefault="00C516AF" w:rsidP="00C05F48">
            <w:pPr>
              <w:pStyle w:val="CM4"/>
              <w:rPr>
                <w:rFonts w:ascii="Cambria" w:hAnsi="Cambria"/>
                <w:iCs/>
                <w:sz w:val="19"/>
                <w:szCs w:val="19"/>
              </w:rPr>
            </w:pPr>
            <w:r w:rsidRPr="00A03747">
              <w:rPr>
                <w:rFonts w:ascii="Cambria" w:hAnsi="Cambria"/>
                <w:iCs/>
                <w:sz w:val="19"/>
                <w:szCs w:val="19"/>
              </w:rPr>
              <w:t>zināt kravu autopārvadājumu ekonomisko vidi un tirgus organizāciju:</w:t>
            </w:r>
          </w:p>
          <w:p w:rsidR="00C516AF" w:rsidRPr="00A03747" w:rsidRDefault="00C516AF" w:rsidP="00C05F48">
            <w:pPr>
              <w:pStyle w:val="CM4"/>
              <w:rPr>
                <w:rFonts w:ascii="Cambria" w:hAnsi="Cambria"/>
                <w:iCs/>
                <w:sz w:val="19"/>
                <w:szCs w:val="19"/>
              </w:rPr>
            </w:pPr>
            <w:r w:rsidRPr="00A03747">
              <w:rPr>
                <w:rFonts w:ascii="Cambria" w:hAnsi="Cambria"/>
                <w:iCs/>
                <w:sz w:val="19"/>
                <w:szCs w:val="19"/>
              </w:rPr>
              <w:t>autotransports attiecībā pret citiem transporta veidiem (konkurence, nosūtītāji), dažādas autotransporta darbības (komercpārvadājumi, pašpārvadājumi, transporta palīgdarbības), transporta uzņēmumu un transporta palīgdarbību galveno veidu organizācija, dažādas transporta specializācijas (piemēram, autocisterna, kontrolēta temperatūra, bīstamās kravas, dzīvnieku pārvadāšana), pārmaiņas nozarē (piemēram, sniegto pakalpojumu dažādošana, pārvadājumi pa dzelzceļu un autoceļiem, apakšuzņēmuma līgumi)</w:t>
            </w:r>
          </w:p>
        </w:tc>
        <w:tc>
          <w:tcPr>
            <w:tcW w:w="1374" w:type="dxa"/>
            <w:shd w:val="clear" w:color="auto" w:fill="auto"/>
          </w:tcPr>
          <w:p w:rsidR="00C516AF" w:rsidRPr="00A03747" w:rsidRDefault="00C516AF" w:rsidP="00C05F48">
            <w:pPr>
              <w:pStyle w:val="CM1"/>
              <w:jc w:val="center"/>
              <w:rPr>
                <w:rFonts w:ascii="Cambria" w:hAnsi="Cambria"/>
                <w:iCs/>
                <w:sz w:val="19"/>
                <w:szCs w:val="19"/>
              </w:rPr>
            </w:pPr>
          </w:p>
        </w:tc>
        <w:tc>
          <w:tcPr>
            <w:tcW w:w="1375" w:type="dxa"/>
            <w:shd w:val="clear" w:color="auto" w:fill="808080"/>
          </w:tcPr>
          <w:p w:rsidR="00C516AF" w:rsidRPr="00A03747" w:rsidRDefault="00C516AF" w:rsidP="00C05F48">
            <w:pPr>
              <w:pStyle w:val="CM1"/>
              <w:jc w:val="center"/>
              <w:rPr>
                <w:rFonts w:ascii="Cambria" w:hAnsi="Cambria"/>
                <w:iCs/>
                <w:sz w:val="19"/>
                <w:szCs w:val="19"/>
              </w:rPr>
            </w:pPr>
          </w:p>
        </w:tc>
      </w:tr>
      <w:tr w:rsidR="00C516AF" w:rsidRPr="00A03747" w:rsidTr="00C05F48">
        <w:trPr>
          <w:cantSplit/>
        </w:trPr>
        <w:tc>
          <w:tcPr>
            <w:tcW w:w="595" w:type="dxa"/>
            <w:shd w:val="clear" w:color="auto" w:fill="auto"/>
            <w:hideMark/>
          </w:tcPr>
          <w:p w:rsidR="00C516AF" w:rsidRPr="00A03747" w:rsidRDefault="00C516AF" w:rsidP="00C05F48">
            <w:pPr>
              <w:pStyle w:val="CM1"/>
              <w:jc w:val="center"/>
              <w:rPr>
                <w:rFonts w:ascii="Cambria" w:hAnsi="Cambria"/>
                <w:iCs/>
                <w:sz w:val="19"/>
                <w:szCs w:val="19"/>
              </w:rPr>
            </w:pPr>
            <w:r w:rsidRPr="00A03747">
              <w:rPr>
                <w:rFonts w:ascii="Cambria" w:hAnsi="Cambria"/>
                <w:iCs/>
                <w:sz w:val="19"/>
                <w:szCs w:val="19"/>
              </w:rPr>
              <w:t>3.8.</w:t>
            </w:r>
          </w:p>
        </w:tc>
        <w:tc>
          <w:tcPr>
            <w:tcW w:w="6237" w:type="dxa"/>
            <w:shd w:val="clear" w:color="auto" w:fill="auto"/>
            <w:hideMark/>
          </w:tcPr>
          <w:p w:rsidR="00C516AF" w:rsidRPr="00A03747" w:rsidRDefault="00C516AF" w:rsidP="00C05F48">
            <w:pPr>
              <w:pStyle w:val="CM4"/>
              <w:rPr>
                <w:rFonts w:ascii="Cambria" w:hAnsi="Cambria"/>
                <w:iCs/>
                <w:sz w:val="19"/>
                <w:szCs w:val="19"/>
              </w:rPr>
            </w:pPr>
            <w:r w:rsidRPr="00A03747">
              <w:rPr>
                <w:rFonts w:ascii="Cambria" w:hAnsi="Cambria"/>
                <w:iCs/>
                <w:sz w:val="19"/>
                <w:szCs w:val="19"/>
              </w:rPr>
              <w:t>zināt pasažieru autopārvadājumu ekonomisko vidi un tirgus organizāciju:</w:t>
            </w:r>
          </w:p>
          <w:p w:rsidR="00C516AF" w:rsidRPr="00A03747" w:rsidRDefault="00C516AF" w:rsidP="00C05F48">
            <w:pPr>
              <w:pStyle w:val="CM1"/>
              <w:rPr>
                <w:rFonts w:ascii="Cambria" w:hAnsi="Cambria"/>
                <w:iCs/>
                <w:sz w:val="19"/>
                <w:szCs w:val="19"/>
              </w:rPr>
            </w:pPr>
            <w:r w:rsidRPr="00A03747">
              <w:rPr>
                <w:rFonts w:ascii="Cambria" w:hAnsi="Cambria"/>
                <w:iCs/>
                <w:sz w:val="19"/>
                <w:szCs w:val="19"/>
              </w:rPr>
              <w:t>pasažieru autopārvadājumi attiecībā pret citiem pasažieru pārvadājumu veidiem (dzelzceļš, privātā automašīna), dažādas autotransporta darbības, kas ietver pasažieru autopārvadājumus, izpratne par invaliditāti, robežu šķērsošana (starptautiskie pārvadājumi), pasažieru autopārvadājumu uzņēmumu galveno veidu organizācija</w:t>
            </w:r>
          </w:p>
        </w:tc>
        <w:tc>
          <w:tcPr>
            <w:tcW w:w="1374" w:type="dxa"/>
            <w:shd w:val="clear" w:color="auto" w:fill="808080"/>
          </w:tcPr>
          <w:p w:rsidR="00C516AF" w:rsidRPr="00A03747" w:rsidRDefault="00C516AF" w:rsidP="00C05F48">
            <w:pPr>
              <w:pStyle w:val="CM1"/>
              <w:jc w:val="center"/>
              <w:rPr>
                <w:rFonts w:ascii="Cambria" w:hAnsi="Cambria"/>
                <w:iCs/>
                <w:sz w:val="19"/>
                <w:szCs w:val="19"/>
              </w:rPr>
            </w:pPr>
          </w:p>
        </w:tc>
        <w:tc>
          <w:tcPr>
            <w:tcW w:w="1375" w:type="dxa"/>
            <w:shd w:val="clear" w:color="auto" w:fill="auto"/>
          </w:tcPr>
          <w:p w:rsidR="00C516AF" w:rsidRPr="00A03747" w:rsidRDefault="00C516AF" w:rsidP="00C05F48">
            <w:pPr>
              <w:pStyle w:val="CM1"/>
              <w:jc w:val="center"/>
              <w:rPr>
                <w:rFonts w:ascii="Cambria" w:hAnsi="Cambria"/>
                <w:iCs/>
                <w:sz w:val="19"/>
                <w:szCs w:val="19"/>
              </w:rPr>
            </w:pPr>
          </w:p>
        </w:tc>
      </w:tr>
      <w:tr w:rsidR="00C516AF" w:rsidRPr="00A03747" w:rsidTr="00C05F48">
        <w:trPr>
          <w:cantSplit/>
        </w:trPr>
        <w:tc>
          <w:tcPr>
            <w:tcW w:w="595" w:type="dxa"/>
            <w:shd w:val="clear" w:color="auto" w:fill="auto"/>
          </w:tcPr>
          <w:p w:rsidR="00C516AF" w:rsidRPr="00A03747" w:rsidRDefault="00C516AF" w:rsidP="00C05F48">
            <w:pPr>
              <w:pStyle w:val="CM1"/>
              <w:jc w:val="center"/>
              <w:rPr>
                <w:rFonts w:ascii="Cambria" w:hAnsi="Cambria"/>
                <w:iCs/>
                <w:sz w:val="19"/>
                <w:szCs w:val="19"/>
              </w:rPr>
            </w:pPr>
            <w:r w:rsidRPr="00A03747">
              <w:rPr>
                <w:rFonts w:ascii="Cambria" w:hAnsi="Cambria"/>
                <w:iCs/>
                <w:sz w:val="19"/>
                <w:szCs w:val="19"/>
              </w:rPr>
              <w:t>4.</w:t>
            </w:r>
          </w:p>
        </w:tc>
        <w:tc>
          <w:tcPr>
            <w:tcW w:w="6237" w:type="dxa"/>
            <w:shd w:val="clear" w:color="auto" w:fill="auto"/>
            <w:hideMark/>
          </w:tcPr>
          <w:p w:rsidR="00C516AF" w:rsidRPr="00A03747" w:rsidRDefault="00C516AF" w:rsidP="00C05F48">
            <w:pPr>
              <w:pStyle w:val="CM4"/>
              <w:rPr>
                <w:rFonts w:ascii="Cambria" w:hAnsi="Cambria"/>
                <w:b/>
                <w:bCs/>
                <w:iCs/>
                <w:sz w:val="19"/>
                <w:szCs w:val="19"/>
              </w:rPr>
            </w:pPr>
            <w:r w:rsidRPr="00A03747">
              <w:rPr>
                <w:rFonts w:ascii="Cambria" w:hAnsi="Cambria"/>
                <w:b/>
                <w:bCs/>
                <w:iCs/>
                <w:sz w:val="19"/>
                <w:szCs w:val="19"/>
              </w:rPr>
              <w:t>Praktiskās braukšanas nodarbības</w:t>
            </w:r>
          </w:p>
        </w:tc>
        <w:tc>
          <w:tcPr>
            <w:tcW w:w="1374" w:type="dxa"/>
            <w:shd w:val="clear" w:color="auto" w:fill="auto"/>
            <w:hideMark/>
          </w:tcPr>
          <w:p w:rsidR="00C516AF" w:rsidRPr="00A03747" w:rsidRDefault="00C516AF" w:rsidP="00C05F48">
            <w:pPr>
              <w:pStyle w:val="CM1"/>
              <w:jc w:val="center"/>
              <w:rPr>
                <w:rFonts w:ascii="Cambria" w:hAnsi="Cambria"/>
                <w:iCs/>
                <w:sz w:val="19"/>
                <w:szCs w:val="19"/>
              </w:rPr>
            </w:pPr>
            <w:r w:rsidRPr="00A03747">
              <w:rPr>
                <w:rFonts w:ascii="Cambria" w:hAnsi="Cambria"/>
                <w:iCs/>
                <w:sz w:val="19"/>
                <w:szCs w:val="19"/>
              </w:rPr>
              <w:t xml:space="preserve">20 </w:t>
            </w:r>
            <w:r w:rsidRPr="00A03747">
              <w:rPr>
                <w:rFonts w:ascii="Cambria" w:hAnsi="Cambria"/>
                <w:sz w:val="19"/>
                <w:szCs w:val="19"/>
              </w:rPr>
              <w:t>(minimālais skaits)</w:t>
            </w:r>
          </w:p>
        </w:tc>
        <w:tc>
          <w:tcPr>
            <w:tcW w:w="1375" w:type="dxa"/>
            <w:shd w:val="clear" w:color="auto" w:fill="auto"/>
            <w:hideMark/>
          </w:tcPr>
          <w:p w:rsidR="00C516AF" w:rsidRPr="00A03747" w:rsidRDefault="00C516AF" w:rsidP="00C05F48">
            <w:pPr>
              <w:pStyle w:val="CM1"/>
              <w:jc w:val="center"/>
              <w:rPr>
                <w:rFonts w:ascii="Cambria" w:hAnsi="Cambria"/>
                <w:iCs/>
                <w:sz w:val="19"/>
                <w:szCs w:val="19"/>
              </w:rPr>
            </w:pPr>
            <w:r w:rsidRPr="00A03747">
              <w:rPr>
                <w:rFonts w:ascii="Cambria" w:hAnsi="Cambria"/>
                <w:iCs/>
                <w:sz w:val="19"/>
                <w:szCs w:val="19"/>
              </w:rPr>
              <w:t xml:space="preserve">20 </w:t>
            </w:r>
            <w:r w:rsidRPr="00A03747">
              <w:rPr>
                <w:rFonts w:ascii="Cambria" w:hAnsi="Cambria"/>
                <w:sz w:val="19"/>
                <w:szCs w:val="19"/>
              </w:rPr>
              <w:t>(minimālais skaits)</w:t>
            </w:r>
          </w:p>
        </w:tc>
      </w:tr>
      <w:tr w:rsidR="00C516AF" w:rsidRPr="00A03747" w:rsidTr="00C05F48">
        <w:trPr>
          <w:cantSplit/>
        </w:trPr>
        <w:tc>
          <w:tcPr>
            <w:tcW w:w="595" w:type="dxa"/>
            <w:shd w:val="clear" w:color="auto" w:fill="auto"/>
          </w:tcPr>
          <w:p w:rsidR="00C516AF" w:rsidRPr="00A03747" w:rsidRDefault="00C516AF" w:rsidP="00C05F48">
            <w:pPr>
              <w:pStyle w:val="CM1"/>
              <w:jc w:val="center"/>
              <w:rPr>
                <w:rFonts w:ascii="Cambria" w:hAnsi="Cambria"/>
                <w:iCs/>
                <w:sz w:val="19"/>
                <w:szCs w:val="19"/>
              </w:rPr>
            </w:pPr>
          </w:p>
        </w:tc>
        <w:tc>
          <w:tcPr>
            <w:tcW w:w="6237" w:type="dxa"/>
            <w:shd w:val="clear" w:color="auto" w:fill="auto"/>
            <w:hideMark/>
          </w:tcPr>
          <w:p w:rsidR="00C516AF" w:rsidRPr="00A03747" w:rsidRDefault="00C516AF" w:rsidP="00C05F48">
            <w:pPr>
              <w:pStyle w:val="CM4"/>
              <w:jc w:val="right"/>
              <w:rPr>
                <w:rFonts w:ascii="Cambria" w:hAnsi="Cambria"/>
                <w:iCs/>
                <w:sz w:val="19"/>
                <w:szCs w:val="19"/>
              </w:rPr>
            </w:pPr>
            <w:r w:rsidRPr="00A03747">
              <w:rPr>
                <w:rFonts w:ascii="Cambria" w:hAnsi="Cambria"/>
                <w:iCs/>
                <w:sz w:val="19"/>
                <w:szCs w:val="19"/>
              </w:rPr>
              <w:t>Kopā</w:t>
            </w:r>
          </w:p>
        </w:tc>
        <w:tc>
          <w:tcPr>
            <w:tcW w:w="1374" w:type="dxa"/>
            <w:shd w:val="clear" w:color="auto" w:fill="auto"/>
            <w:hideMark/>
          </w:tcPr>
          <w:p w:rsidR="00C516AF" w:rsidRPr="00A03747" w:rsidRDefault="00C516AF" w:rsidP="00C05F48">
            <w:pPr>
              <w:pStyle w:val="CM1"/>
              <w:jc w:val="center"/>
              <w:rPr>
                <w:rFonts w:ascii="Cambria" w:hAnsi="Cambria"/>
                <w:iCs/>
                <w:sz w:val="19"/>
                <w:szCs w:val="19"/>
              </w:rPr>
            </w:pPr>
            <w:r w:rsidRPr="00A03747">
              <w:rPr>
                <w:rFonts w:ascii="Cambria" w:hAnsi="Cambria"/>
                <w:iCs/>
                <w:sz w:val="19"/>
                <w:szCs w:val="19"/>
              </w:rPr>
              <w:t>280</w:t>
            </w:r>
          </w:p>
        </w:tc>
        <w:tc>
          <w:tcPr>
            <w:tcW w:w="1375" w:type="dxa"/>
            <w:shd w:val="clear" w:color="auto" w:fill="auto"/>
            <w:hideMark/>
          </w:tcPr>
          <w:p w:rsidR="00C516AF" w:rsidRPr="00A03747" w:rsidRDefault="00C516AF" w:rsidP="00C05F48">
            <w:pPr>
              <w:pStyle w:val="CM1"/>
              <w:jc w:val="center"/>
              <w:rPr>
                <w:rFonts w:ascii="Cambria" w:hAnsi="Cambria"/>
                <w:iCs/>
                <w:sz w:val="19"/>
                <w:szCs w:val="19"/>
              </w:rPr>
            </w:pPr>
            <w:r w:rsidRPr="00A03747">
              <w:rPr>
                <w:rFonts w:ascii="Cambria" w:hAnsi="Cambria"/>
                <w:iCs/>
                <w:sz w:val="19"/>
                <w:szCs w:val="19"/>
              </w:rPr>
              <w:t>280</w:t>
            </w:r>
          </w:p>
        </w:tc>
      </w:tr>
    </w:tbl>
    <w:p w:rsidR="00057F4E" w:rsidRDefault="00057F4E"/>
    <w:sectPr w:rsidR="00057F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6AF"/>
    <w:rsid w:val="00057F4E"/>
    <w:rsid w:val="00C51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6AF"/>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16AF"/>
    <w:pPr>
      <w:spacing w:after="0" w:line="240" w:lineRule="auto"/>
    </w:pPr>
    <w:rPr>
      <w:rFonts w:ascii="Calibri" w:eastAsia="Calibri" w:hAnsi="Calibri" w:cs="Times New Roman"/>
      <w:lang w:val="lv-LV"/>
    </w:rPr>
  </w:style>
  <w:style w:type="paragraph" w:customStyle="1" w:styleId="CM1">
    <w:name w:val="CM1"/>
    <w:basedOn w:val="Normal"/>
    <w:next w:val="Normal"/>
    <w:uiPriority w:val="99"/>
    <w:rsid w:val="00C516AF"/>
    <w:pPr>
      <w:autoSpaceDE w:val="0"/>
      <w:autoSpaceDN w:val="0"/>
      <w:adjustRightInd w:val="0"/>
      <w:spacing w:after="0" w:line="240" w:lineRule="auto"/>
    </w:pPr>
    <w:rPr>
      <w:rFonts w:ascii="Times New Roman" w:hAnsi="Times New Roman"/>
      <w:sz w:val="24"/>
      <w:szCs w:val="24"/>
    </w:rPr>
  </w:style>
  <w:style w:type="paragraph" w:customStyle="1" w:styleId="CM4">
    <w:name w:val="CM4"/>
    <w:basedOn w:val="Normal"/>
    <w:next w:val="Normal"/>
    <w:uiPriority w:val="99"/>
    <w:rsid w:val="00C516AF"/>
    <w:pPr>
      <w:autoSpaceDE w:val="0"/>
      <w:autoSpaceDN w:val="0"/>
      <w:adjustRightInd w:val="0"/>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6AF"/>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16AF"/>
    <w:pPr>
      <w:spacing w:after="0" w:line="240" w:lineRule="auto"/>
    </w:pPr>
    <w:rPr>
      <w:rFonts w:ascii="Calibri" w:eastAsia="Calibri" w:hAnsi="Calibri" w:cs="Times New Roman"/>
      <w:lang w:val="lv-LV"/>
    </w:rPr>
  </w:style>
  <w:style w:type="paragraph" w:customStyle="1" w:styleId="CM1">
    <w:name w:val="CM1"/>
    <w:basedOn w:val="Normal"/>
    <w:next w:val="Normal"/>
    <w:uiPriority w:val="99"/>
    <w:rsid w:val="00C516AF"/>
    <w:pPr>
      <w:autoSpaceDE w:val="0"/>
      <w:autoSpaceDN w:val="0"/>
      <w:adjustRightInd w:val="0"/>
      <w:spacing w:after="0" w:line="240" w:lineRule="auto"/>
    </w:pPr>
    <w:rPr>
      <w:rFonts w:ascii="Times New Roman" w:hAnsi="Times New Roman"/>
      <w:sz w:val="24"/>
      <w:szCs w:val="24"/>
    </w:rPr>
  </w:style>
  <w:style w:type="paragraph" w:customStyle="1" w:styleId="CM4">
    <w:name w:val="CM4"/>
    <w:basedOn w:val="Normal"/>
    <w:next w:val="Normal"/>
    <w:uiPriority w:val="99"/>
    <w:rsid w:val="00C516AF"/>
    <w:pPr>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1338</Words>
  <Characters>7631</Characters>
  <Application>Microsoft Office Word</Application>
  <DocSecurity>0</DocSecurity>
  <Lines>63</Lines>
  <Paragraphs>17</Paragraphs>
  <ScaleCrop>false</ScaleCrop>
  <Company/>
  <LinksUpToDate>false</LinksUpToDate>
  <CharactersWithSpaces>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Sandra Spuļģe</cp:lastModifiedBy>
  <cp:revision>1</cp:revision>
  <dcterms:created xsi:type="dcterms:W3CDTF">2020-09-08T07:44:00Z</dcterms:created>
  <dcterms:modified xsi:type="dcterms:W3CDTF">2020-09-08T07:45:00Z</dcterms:modified>
</cp:coreProperties>
</file>