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7E" w:rsidRDefault="00685A7E" w:rsidP="00685A7E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ED1642">
        <w:rPr>
          <w:rFonts w:ascii="Cambria" w:hAnsi="Cambria"/>
          <w:sz w:val="19"/>
          <w:szCs w:val="19"/>
        </w:rPr>
        <w:t>1.pielikums</w:t>
      </w:r>
      <w:r w:rsidRPr="00ED1642">
        <w:rPr>
          <w:rFonts w:ascii="Cambria" w:hAnsi="Cambria"/>
          <w:sz w:val="19"/>
          <w:szCs w:val="19"/>
        </w:rPr>
        <w:br/>
        <w:t>Sabiedrisko pakalpojumu regulēšanas komisijas</w:t>
      </w:r>
      <w:r w:rsidRPr="00ED1642">
        <w:rPr>
          <w:rFonts w:ascii="Cambria" w:hAnsi="Cambria"/>
          <w:sz w:val="19"/>
          <w:szCs w:val="19"/>
        </w:rPr>
        <w:br/>
        <w:t>2009.gada 11.novembra lēmumam Nr.1/5</w:t>
      </w:r>
      <w:r w:rsidRPr="00ED1642">
        <w:rPr>
          <w:rFonts w:ascii="Cambria" w:hAnsi="Cambria"/>
          <w:sz w:val="19"/>
          <w:szCs w:val="19"/>
        </w:rPr>
        <w:br/>
        <w:t>"Noteikumi par Sabiedrisko pakalpojumu regulēšanas komisijai</w:t>
      </w:r>
      <w:r w:rsidRPr="00ED1642">
        <w:rPr>
          <w:rFonts w:ascii="Cambria" w:hAnsi="Cambria"/>
          <w:sz w:val="19"/>
          <w:szCs w:val="19"/>
        </w:rPr>
        <w:br/>
        <w:t>iesniedzamo informāciju"</w:t>
      </w:r>
    </w:p>
    <w:p w:rsidR="00685A7E" w:rsidRPr="00685A7E" w:rsidRDefault="00685A7E" w:rsidP="00685A7E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685A7E">
        <w:rPr>
          <w:rFonts w:asciiTheme="majorHAnsi" w:hAnsiTheme="majorHAnsi"/>
          <w:i/>
          <w:sz w:val="18"/>
          <w:szCs w:val="18"/>
        </w:rPr>
        <w:t xml:space="preserve">(Pielikums </w:t>
      </w:r>
      <w:r w:rsidR="009E516A" w:rsidRPr="009E516A">
        <w:rPr>
          <w:rFonts w:asciiTheme="majorHAnsi" w:hAnsiTheme="majorHAnsi"/>
          <w:i/>
          <w:sz w:val="18"/>
          <w:szCs w:val="18"/>
        </w:rPr>
        <w:t>SPRK padomes 22.09.2016. lēmuma Nr. 1/18 redakcijā)</w:t>
      </w:r>
      <w:bookmarkStart w:id="0" w:name="_GoBack"/>
      <w:bookmarkEnd w:id="0"/>
    </w:p>
    <w:p w:rsidR="00685A7E" w:rsidRPr="00ED1642" w:rsidRDefault="00685A7E" w:rsidP="00685A7E">
      <w:pPr>
        <w:pStyle w:val="Tahoma"/>
        <w:spacing w:before="130" w:after="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5"/>
        <w:gridCol w:w="4555"/>
      </w:tblGrid>
      <w:tr w:rsidR="009E516A" w:rsidRPr="00D84ECB" w:rsidTr="00575506">
        <w:tc>
          <w:tcPr>
            <w:tcW w:w="2382" w:type="pct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Sabiedrisko pakalpojumu sniedzēja nosaukums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2382" w:type="pct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vienotais reģistrācijas numurs</w:t>
            </w:r>
          </w:p>
        </w:tc>
        <w:tc>
          <w:tcPr>
            <w:tcW w:w="26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</w:tbl>
    <w:p w:rsidR="009E516A" w:rsidRPr="00D84ECB" w:rsidRDefault="009E516A" w:rsidP="009E516A">
      <w:pPr>
        <w:spacing w:before="130" w:after="6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D84ECB">
        <w:rPr>
          <w:rFonts w:ascii="Cambria" w:hAnsi="Cambria"/>
          <w:b/>
          <w:bCs/>
          <w:sz w:val="19"/>
        </w:rPr>
        <w:t>2. Informācija par aprēķināto valsts nodevu par sabiedrisko pakalpojumu regulēšanu</w:t>
      </w:r>
      <w:r>
        <w:rPr>
          <w:rFonts w:ascii="Cambria" w:hAnsi="Cambria"/>
          <w:b/>
          <w:bCs/>
          <w:sz w:val="19"/>
        </w:rPr>
        <w:br/>
      </w:r>
      <w:r w:rsidRPr="00D84ECB">
        <w:rPr>
          <w:rFonts w:ascii="Cambria" w:hAnsi="Cambria"/>
          <w:b/>
          <w:bCs/>
          <w:sz w:val="19"/>
        </w:rPr>
        <w:t xml:space="preserve"> ____________.gadā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3828"/>
        <w:gridCol w:w="1566"/>
        <w:gridCol w:w="1305"/>
        <w:gridCol w:w="1218"/>
      </w:tblGrid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Nr.</w:t>
            </w:r>
            <w:r w:rsidRPr="00D84ECB">
              <w:rPr>
                <w:rFonts w:ascii="Cambria" w:hAnsi="Cambria"/>
                <w:b/>
                <w:bCs/>
                <w:sz w:val="19"/>
              </w:rPr>
              <w:br/>
              <w:t>p/k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Nozare /Regulējamais sabiedriskā pakalpojuma veids*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Neto apgrozījums _________. gadā, EUR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Valsts nodevas likme, %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Aprēķinātā valsts nodeva, EUR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5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Elektroenerģijas apgādē kopā, t.sk.: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elektroenerģijas ražošanā elektrostacijās, kuru uzstādītā elektriskā jauda ir lielāka par vienu megavatu;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elektroenerģijas ražošanā koģenerācijā, kur koģenerācijas iekārtu kopējā uzstādītā elektriskā jauda koģenerācijas elektrostacijā ir lielāka par vienu megavatu;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elektroenerģijas pārvadē, ja spriegums ir 110 kilovoltu un lielāks;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elektroenerģijas sadalē, ja spriegums ir lielāks par vienu kilovoltu un nepārsniedz 110 kilovoltus;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elektroenerģijas tirdzniecībā jebkuriem enerģijas lietotājiem, ja kopējais tirdzniecības apjoms pārsniedz 4000 megavatstundu gadā.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Siltumenerģijas apgādē kopā, t.sk.: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pageBreakBefore/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2.1.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siltumenerģijas ražošanā, tai skaitā koģenerācijā, iekārtās ar kopējo uzstādīto siltuma jaudu, kas lielāka par vienu megavatu, ja lietotājiem nodotais siltumenerģijas apjoms pārsniedz 5 000 megavatstundu gadā;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2.2.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siltumenerģijas pārvadē un sadalē, ja kopējais pārvadītās un sadalītās siltumenerģijas apjoms pārsniedz 5 000 megavatstundu gadā;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2.3.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siltumenerģijas tirdzniecībā lietotājiem, ja kopējais siltumenerģijas tirdzniecības apjoms pārsniedz 5</w:t>
            </w:r>
            <w:r>
              <w:rPr>
                <w:rFonts w:ascii="Cambria" w:hAnsi="Cambria"/>
                <w:sz w:val="19"/>
              </w:rPr>
              <w:t> </w:t>
            </w:r>
            <w:r w:rsidRPr="00D84ECB">
              <w:rPr>
                <w:rFonts w:ascii="Cambria" w:hAnsi="Cambria"/>
                <w:sz w:val="19"/>
              </w:rPr>
              <w:t>000 megavatstundu gadā.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Dabasgāzes apgādē kopā, t.sk.: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3.1.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dabasgāzes pārvadē pa cauruļvadiem;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3.2.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tirdzniecībai paredzētās dabasgāzes uzglabāšanā tvertnēs vai krātuvēs;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3.3.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dabasgāzes sadalē;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3.4.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 xml:space="preserve">dabasgāzes tirdzniecībā jebkuriem enerģijas lietotājiem, izņemot dabasgāzes tirdzniecību automobiļu gāzes </w:t>
            </w:r>
            <w:proofErr w:type="spellStart"/>
            <w:r w:rsidRPr="00D84ECB">
              <w:rPr>
                <w:rFonts w:ascii="Cambria" w:hAnsi="Cambria"/>
                <w:sz w:val="19"/>
              </w:rPr>
              <w:t>uzpildes</w:t>
            </w:r>
            <w:proofErr w:type="spellEnd"/>
            <w:r w:rsidRPr="00D84ECB">
              <w:rPr>
                <w:rFonts w:ascii="Cambria" w:hAnsi="Cambria"/>
                <w:sz w:val="19"/>
              </w:rPr>
              <w:t xml:space="preserve"> kompresoru stacijās;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3.5.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dabasgāzes šķidrināšanā vai sašķidrinātās dabasgāzes saņemšanā, izkraušanā, uzglabāšanā un pārvēršanā gāzveida stāvoklī turpmākai piegādei uz dabasgāzes pārvades sistēmu.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4.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Elektronisko sakaru nozarē kopā, t.sk.: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balss telefonijas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publiskajos taksofonu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publiskajos datu un elektronisko ziņojumu pārraides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4.4.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nomāto līniju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4.5.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publiskos interneta piekļuves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4.6.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radio vai televīzijas programmu izplatīšanas pakalpojumos publiskajos elektronisko sakaru tīklos;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4.7.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piekļuves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4.8.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proofErr w:type="spellStart"/>
            <w:r w:rsidRPr="00D84ECB">
              <w:rPr>
                <w:rFonts w:ascii="Cambria" w:hAnsi="Cambria"/>
                <w:sz w:val="19"/>
              </w:rPr>
              <w:t>starpsavienojuma</w:t>
            </w:r>
            <w:proofErr w:type="spellEnd"/>
            <w:r w:rsidRPr="00D84ECB">
              <w:rPr>
                <w:rFonts w:ascii="Cambria" w:hAnsi="Cambria"/>
                <w:sz w:val="19"/>
              </w:rPr>
              <w:t xml:space="preserve"> pakalpojumos.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5.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Pasta nozarē kopā, t.sk.: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5.1.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tradicionālajos pasta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5.2.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kurjerpasta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5.3.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eksprespasta pakalpojumos;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5.4.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abonēto preses izdevumu piegādes pakalpojumos.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6.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Ūdenssaimniecības nozarē kopā, t.sk.: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6.1.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ūdens ieguvē, uzkrāšanā un sagatavošanā lietošanai līdz padevei centralizētajā ūdensvada tīklā;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6.2.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ūdens piegādē no padeves vietas centralizētā ūdensvada tīklā līdz piederības robežai;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6.3.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notekūdeņu savākšanā centralizētajās kanalizācijas sistēmās un novadīšanā līdz notekūdeņu attīrīšanas iekārtām;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6.4.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notekūdeņu attīrīšanā un novadīšanā vidē, tajā skaitā, virszemes ūdensobjektos.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7.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Sadzīves atkritumu apsaimniekošanas nozarē sadzīves atkritumu apglabāšanā poligonos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c>
          <w:tcPr>
            <w:tcW w:w="4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8.</w:t>
            </w:r>
          </w:p>
        </w:tc>
        <w:tc>
          <w:tcPr>
            <w:tcW w:w="22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b/>
                <w:bCs/>
                <w:sz w:val="19"/>
              </w:rPr>
              <w:t>Kopā</w:t>
            </w:r>
            <w:r w:rsidRPr="00D84ECB">
              <w:rPr>
                <w:rFonts w:ascii="Cambria" w:hAnsi="Cambria"/>
                <w:sz w:val="19"/>
              </w:rPr>
              <w:t xml:space="preserve"> (1+2+3+4+5+6+7)</w:t>
            </w:r>
          </w:p>
        </w:tc>
        <w:tc>
          <w:tcPr>
            <w:tcW w:w="9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X</w:t>
            </w:r>
          </w:p>
        </w:tc>
        <w:tc>
          <w:tcPr>
            <w:tcW w:w="700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</w:tbl>
    <w:p w:rsidR="009E516A" w:rsidRPr="00D84ECB" w:rsidRDefault="009E516A" w:rsidP="009E516A">
      <w:pPr>
        <w:spacing w:before="130" w:line="260" w:lineRule="exact"/>
        <w:ind w:firstLine="539"/>
        <w:jc w:val="both"/>
        <w:rPr>
          <w:rFonts w:ascii="Cambria" w:hAnsi="Cambria"/>
          <w:i/>
          <w:iCs/>
          <w:sz w:val="19"/>
        </w:rPr>
      </w:pPr>
      <w:r w:rsidRPr="00D84ECB">
        <w:rPr>
          <w:rFonts w:ascii="Cambria" w:hAnsi="Cambria"/>
          <w:i/>
          <w:iCs/>
          <w:sz w:val="19"/>
        </w:rPr>
        <w:t>3. * atbilstoši Ministru kabineta 2009.gada 27.oktobra noteikumiem Nr.1227 "Noteikumi par regulējamiem sabiedrisko pakalpojumu veidiem"</w:t>
      </w:r>
    </w:p>
    <w:p w:rsidR="009E516A" w:rsidRDefault="009E516A" w:rsidP="009E516A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>4. Datums ____.____.________.</w:t>
      </w:r>
    </w:p>
    <w:p w:rsidR="009E516A" w:rsidRPr="00D84ECB" w:rsidRDefault="009E516A" w:rsidP="009E516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"/>
        <w:gridCol w:w="2573"/>
        <w:gridCol w:w="5197"/>
      </w:tblGrid>
      <w:tr w:rsidR="009E516A" w:rsidRPr="00D84ECB" w:rsidTr="00575506">
        <w:trPr>
          <w:trHeight w:val="227"/>
        </w:trPr>
        <w:tc>
          <w:tcPr>
            <w:tcW w:w="2013" w:type="pct"/>
            <w:gridSpan w:val="2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Persona, kura tiesīga pārstāvēt komersantu</w:t>
            </w:r>
          </w:p>
        </w:tc>
        <w:tc>
          <w:tcPr>
            <w:tcW w:w="2987" w:type="pct"/>
            <w:tcBorders>
              <w:bottom w:val="single" w:sz="4" w:space="0" w:color="auto"/>
            </w:tcBorders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rPr>
          <w:trHeight w:val="227"/>
        </w:trPr>
        <w:tc>
          <w:tcPr>
            <w:tcW w:w="2013" w:type="pct"/>
            <w:gridSpan w:val="2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87" w:type="pct"/>
            <w:tcBorders>
              <w:top w:val="single" w:sz="4" w:space="0" w:color="auto"/>
            </w:tcBorders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/paraksts un tā atšifrējums/</w:t>
            </w:r>
          </w:p>
        </w:tc>
      </w:tr>
      <w:tr w:rsidR="009E516A" w:rsidRPr="00D84ECB" w:rsidTr="00575506">
        <w:trPr>
          <w:trHeight w:val="227"/>
        </w:trPr>
        <w:tc>
          <w:tcPr>
            <w:tcW w:w="2013" w:type="pct"/>
            <w:gridSpan w:val="2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87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rPr>
          <w:trHeight w:val="227"/>
        </w:trPr>
        <w:tc>
          <w:tcPr>
            <w:tcW w:w="201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87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rPr>
          <w:trHeight w:val="227"/>
        </w:trPr>
        <w:tc>
          <w:tcPr>
            <w:tcW w:w="2013" w:type="pct"/>
            <w:gridSpan w:val="2"/>
            <w:tcBorders>
              <w:top w:val="single" w:sz="4" w:space="0" w:color="auto"/>
            </w:tcBorders>
            <w:hideMark/>
          </w:tcPr>
          <w:p w:rsidR="009E516A" w:rsidRPr="00D84ECB" w:rsidRDefault="009E516A" w:rsidP="00575506">
            <w:pPr>
              <w:jc w:val="center"/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/sagatavotāja vārds, uzvārds/</w:t>
            </w:r>
          </w:p>
        </w:tc>
        <w:tc>
          <w:tcPr>
            <w:tcW w:w="2987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rPr>
          <w:trHeight w:val="227"/>
        </w:trPr>
        <w:tc>
          <w:tcPr>
            <w:tcW w:w="534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87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  <w:tr w:rsidR="009E516A" w:rsidRPr="00D84ECB" w:rsidTr="00575506">
        <w:trPr>
          <w:trHeight w:val="227"/>
        </w:trPr>
        <w:tc>
          <w:tcPr>
            <w:tcW w:w="534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987" w:type="pct"/>
            <w:vAlign w:val="center"/>
            <w:hideMark/>
          </w:tcPr>
          <w:p w:rsidR="009E516A" w:rsidRPr="00D84ECB" w:rsidRDefault="009E516A" w:rsidP="00575506">
            <w:pPr>
              <w:rPr>
                <w:rFonts w:ascii="Cambria" w:hAnsi="Cambria"/>
                <w:sz w:val="19"/>
              </w:rPr>
            </w:pPr>
            <w:r w:rsidRPr="00D84ECB">
              <w:rPr>
                <w:rFonts w:ascii="Cambria" w:hAnsi="Cambria"/>
                <w:sz w:val="19"/>
              </w:rPr>
              <w:t> </w:t>
            </w:r>
          </w:p>
        </w:tc>
      </w:tr>
    </w:tbl>
    <w:p w:rsidR="0065128F" w:rsidRDefault="0065128F"/>
    <w:sectPr w:rsidR="0065128F" w:rsidSect="006512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A7E"/>
    <w:rsid w:val="0065128F"/>
    <w:rsid w:val="00685A7E"/>
    <w:rsid w:val="009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71A185-36D5-4FDD-BBA8-8DF3D630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">
    <w:name w:val="Tahoma"/>
    <w:basedOn w:val="Normal"/>
    <w:link w:val="TahomaChar"/>
    <w:qFormat/>
    <w:rsid w:val="00685A7E"/>
    <w:pPr>
      <w:spacing w:after="160" w:line="259" w:lineRule="auto"/>
    </w:pPr>
    <w:rPr>
      <w:rFonts w:ascii="Tahoma" w:eastAsia="Calibri" w:hAnsi="Tahoma"/>
      <w:sz w:val="22"/>
      <w:szCs w:val="22"/>
      <w:lang w:val="ru-RU" w:eastAsia="en-US"/>
    </w:rPr>
  </w:style>
  <w:style w:type="character" w:customStyle="1" w:styleId="TahomaChar">
    <w:name w:val="Tahoma Char"/>
    <w:link w:val="Tahoma"/>
    <w:rsid w:val="00685A7E"/>
    <w:rPr>
      <w:rFonts w:ascii="Tahoma" w:eastAsia="Calibri" w:hAnsi="Tahoma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2536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liva.sejane</cp:lastModifiedBy>
  <cp:revision>2</cp:revision>
  <dcterms:created xsi:type="dcterms:W3CDTF">2016-04-25T07:55:00Z</dcterms:created>
  <dcterms:modified xsi:type="dcterms:W3CDTF">2016-09-27T10:14:00Z</dcterms:modified>
</cp:coreProperties>
</file>