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00000">
      <w:pPr>
        <w:tabs>
          <w:tab w:val="left" w:pos="-142"/>
          <w:tab w:val="left" w:pos="1134"/>
        </w:tabs>
        <w:jc w:val="right"/>
        <w:rPr>
          <w:sz w:val="28"/>
          <w:szCs w:val="28"/>
        </w:rPr>
      </w:pPr>
      <w:r>
        <w:rPr>
          <w:bCs/>
          <w:iCs/>
          <w:sz w:val="28"/>
          <w:szCs w:val="28"/>
        </w:rPr>
        <w:t>2</w:t>
      </w:r>
      <w:r>
        <w:rPr>
          <w:sz w:val="28"/>
          <w:szCs w:val="28"/>
        </w:rPr>
        <w:t>.pielikums</w:t>
      </w:r>
    </w:p>
    <w:p w:rsidR="00000000" w:rsidRDefault="00000000">
      <w:pPr>
        <w:tabs>
          <w:tab w:val="left" w:pos="-142"/>
          <w:tab w:val="left" w:pos="0"/>
        </w:tabs>
        <w:jc w:val="right"/>
        <w:rPr>
          <w:sz w:val="28"/>
          <w:szCs w:val="28"/>
        </w:rPr>
      </w:pPr>
      <w:r>
        <w:rPr>
          <w:sz w:val="28"/>
          <w:szCs w:val="28"/>
        </w:rPr>
        <w:t>Ministru kabineta</w:t>
      </w:r>
    </w:p>
    <w:p w:rsidR="00000000" w:rsidRDefault="00000000">
      <w:pPr>
        <w:tabs>
          <w:tab w:val="left" w:pos="-142"/>
          <w:tab w:val="left" w:pos="0"/>
        </w:tabs>
        <w:jc w:val="right"/>
        <w:rPr>
          <w:sz w:val="28"/>
          <w:szCs w:val="28"/>
        </w:rPr>
      </w:pPr>
      <w:r>
        <w:rPr>
          <w:sz w:val="28"/>
          <w:szCs w:val="28"/>
        </w:rPr>
        <w:t>2006.gada 26.septembra</w:t>
      </w:r>
    </w:p>
    <w:p w:rsidR="00000000" w:rsidRDefault="00000000">
      <w:pPr>
        <w:tabs>
          <w:tab w:val="left" w:pos="-142"/>
          <w:tab w:val="left" w:pos="0"/>
        </w:tabs>
        <w:jc w:val="right"/>
        <w:rPr>
          <w:sz w:val="28"/>
          <w:szCs w:val="28"/>
        </w:rPr>
      </w:pPr>
      <w:r>
        <w:rPr>
          <w:sz w:val="28"/>
          <w:szCs w:val="28"/>
        </w:rPr>
        <w:t>noteikumiem Nr.787</w:t>
      </w:r>
    </w:p>
    <w:p w:rsidR="00000000" w:rsidRDefault="00000000">
      <w:pPr>
        <w:rPr>
          <w:sz w:val="27"/>
          <w:szCs w:val="27"/>
        </w:rPr>
      </w:pPr>
    </w:p>
    <w:p w:rsidR="00000000" w:rsidRDefault="00000000">
      <w:pPr>
        <w:jc w:val="center"/>
        <w:rPr>
          <w:b/>
          <w:sz w:val="28"/>
          <w:szCs w:val="28"/>
        </w:rPr>
      </w:pPr>
      <w:r>
        <w:rPr>
          <w:b/>
          <w:sz w:val="28"/>
          <w:szCs w:val="28"/>
        </w:rPr>
        <w:t>Kārtība, kādā vilcienos ievieto speciālo ritošo sastāvu un vagonus ar kravām, kam nepieciešama īpaša piesardzība</w:t>
      </w:r>
    </w:p>
    <w:p w:rsidR="00000000" w:rsidRDefault="00000000">
      <w:pPr>
        <w:rPr>
          <w:sz w:val="28"/>
          <w:szCs w:val="28"/>
        </w:rPr>
      </w:pPr>
    </w:p>
    <w:p w:rsidR="00000000" w:rsidRDefault="00000000">
      <w:pPr>
        <w:ind w:firstLine="684"/>
        <w:jc w:val="both"/>
        <w:rPr>
          <w:sz w:val="28"/>
          <w:szCs w:val="28"/>
        </w:rPr>
      </w:pPr>
      <w:r>
        <w:rPr>
          <w:sz w:val="28"/>
          <w:szCs w:val="28"/>
        </w:rPr>
        <w:t>1. Ja vilciena sastāvā ir vagoni (cisternas) ar kravām, kam nepieciešama īpaša piesardzība, atsevišķos gadījumos starp šiem vagoniem un vagoniem ar cilvēkiem, vagoniem un vilces līdzekli vai starp pašiem šiem vagoniem nepieciešams izvietot piesegvagonus. Ziņas par kārtību, kādā tiek pārvadātas kravas, kurām nepieciešama īpaša piesardzība, šo kravu saraksts un piesega normas norādītas Kravu pārvadājumu noteikumos. Datus, kas raksturo tādas kravas pamatīpašības, kā arī nepieciešamo piesegvagonu skaitu norāda kravas nosūtītājs kravas pārvadāšanas dokumentos.</w:t>
      </w:r>
    </w:p>
    <w:p w:rsidR="00000000" w:rsidRDefault="00000000">
      <w:pPr>
        <w:ind w:firstLine="684"/>
        <w:jc w:val="both"/>
        <w:rPr>
          <w:sz w:val="28"/>
          <w:szCs w:val="28"/>
        </w:rPr>
      </w:pPr>
    </w:p>
    <w:p w:rsidR="00000000" w:rsidRDefault="00000000">
      <w:pPr>
        <w:ind w:firstLine="684"/>
        <w:jc w:val="both"/>
        <w:rPr>
          <w:sz w:val="28"/>
          <w:szCs w:val="28"/>
        </w:rPr>
      </w:pPr>
      <w:r>
        <w:rPr>
          <w:sz w:val="28"/>
          <w:szCs w:val="28"/>
        </w:rPr>
        <w:t>2. Vagonus ar nebojātām ritošām daļām, kas nav derīgi ievietošanai vilciena sastāvā, uz vagonu remonta uzņēmumiem nosūta ar atsevišķiem vilces līdzekļiem. Šādiem vagoniem nepieciešami noteikti pārvadāšanas dokumenti.</w:t>
      </w:r>
    </w:p>
    <w:p w:rsidR="00000000" w:rsidRDefault="00000000">
      <w:pPr>
        <w:ind w:firstLine="684"/>
        <w:jc w:val="both"/>
        <w:rPr>
          <w:strike/>
          <w:sz w:val="28"/>
          <w:szCs w:val="28"/>
        </w:rPr>
      </w:pPr>
    </w:p>
    <w:p w:rsidR="00000000" w:rsidRDefault="00000000">
      <w:pPr>
        <w:ind w:firstLine="684"/>
        <w:jc w:val="both"/>
        <w:rPr>
          <w:sz w:val="28"/>
          <w:szCs w:val="28"/>
        </w:rPr>
      </w:pPr>
      <w:r>
        <w:rPr>
          <w:sz w:val="28"/>
          <w:szCs w:val="28"/>
        </w:rPr>
        <w:t>3. Starp vagoniem ar 4. un 5.pakāpes sānu un apakšējā virsgabarīta kravām un vilciena sākumu un beigām ievieto ne mazāk kā vienu vagonu, kas krauts ar gabarīta kravām, vai tukšu vagonu.</w:t>
      </w:r>
    </w:p>
    <w:p w:rsidR="00000000" w:rsidRDefault="00000000">
      <w:pPr>
        <w:ind w:firstLine="684"/>
        <w:jc w:val="both"/>
        <w:rPr>
          <w:sz w:val="28"/>
          <w:szCs w:val="28"/>
        </w:rPr>
      </w:pPr>
    </w:p>
    <w:p w:rsidR="00000000" w:rsidRDefault="00000000">
      <w:pPr>
        <w:ind w:firstLine="684"/>
        <w:jc w:val="both"/>
        <w:rPr>
          <w:sz w:val="28"/>
          <w:szCs w:val="28"/>
        </w:rPr>
      </w:pPr>
      <w:r>
        <w:rPr>
          <w:sz w:val="28"/>
          <w:szCs w:val="28"/>
        </w:rPr>
        <w:t>4. Garsastāva vilcienos aizliegts ievietot vagonus ar sānu un apakšējā virsgabarīta kravām (izņemot 1., 2. un 3.pakāpes virsgabarīta kravas).</w:t>
      </w:r>
    </w:p>
    <w:p w:rsidR="00000000" w:rsidRDefault="00000000">
      <w:pPr>
        <w:ind w:firstLine="684"/>
        <w:jc w:val="both"/>
        <w:rPr>
          <w:sz w:val="28"/>
          <w:szCs w:val="28"/>
        </w:rPr>
      </w:pPr>
    </w:p>
    <w:p w:rsidR="00000000" w:rsidRDefault="00000000">
      <w:pPr>
        <w:ind w:firstLine="684"/>
        <w:jc w:val="both"/>
        <w:rPr>
          <w:sz w:val="28"/>
          <w:szCs w:val="28"/>
        </w:rPr>
      </w:pPr>
      <w:r>
        <w:rPr>
          <w:sz w:val="28"/>
          <w:szCs w:val="28"/>
        </w:rPr>
        <w:t>5. Vagonus ar kontrolrāmi novieto aiz vilces līdzekļa vai atdala no vilces līdzekļa ar vienu tukšu platformu, lai kontrolrāmja virsējā zona būtu labāk redzama.</w:t>
      </w:r>
    </w:p>
    <w:p w:rsidR="00000000" w:rsidRDefault="00000000">
      <w:pPr>
        <w:ind w:firstLine="684"/>
        <w:jc w:val="both"/>
        <w:rPr>
          <w:sz w:val="28"/>
          <w:szCs w:val="28"/>
        </w:rPr>
      </w:pPr>
    </w:p>
    <w:p w:rsidR="00000000" w:rsidRDefault="00000000">
      <w:pPr>
        <w:ind w:firstLine="684"/>
        <w:jc w:val="both"/>
        <w:rPr>
          <w:sz w:val="28"/>
          <w:szCs w:val="28"/>
        </w:rPr>
      </w:pPr>
      <w:r>
        <w:rPr>
          <w:sz w:val="28"/>
          <w:szCs w:val="28"/>
        </w:rPr>
        <w:t>6. Vagonus ar 6.pakāpes sānu un apakšējā virsgabarīta un virsvirsgabarīta kravām ievieto vilciena sastāvā ne tuvāk par 20 vagoniem aiz vagona ar kontrolrāmi.</w:t>
      </w:r>
    </w:p>
    <w:p w:rsidR="00000000" w:rsidRDefault="00000000">
      <w:pPr>
        <w:ind w:firstLine="684"/>
        <w:jc w:val="both"/>
        <w:rPr>
          <w:sz w:val="28"/>
          <w:szCs w:val="28"/>
        </w:rPr>
      </w:pPr>
    </w:p>
    <w:p w:rsidR="00000000" w:rsidRDefault="00000000">
      <w:pPr>
        <w:ind w:firstLine="684"/>
        <w:jc w:val="both"/>
        <w:rPr>
          <w:sz w:val="28"/>
          <w:szCs w:val="28"/>
        </w:rPr>
      </w:pPr>
      <w:r>
        <w:rPr>
          <w:sz w:val="28"/>
          <w:szCs w:val="28"/>
        </w:rPr>
        <w:t>7. Pārvadājot virsgabarīta kravas ar kontrolrāmi speciālā vilcienā ar atsevišķu vilces līdzekli, vagons ar šo kravu atrodas ne tuvāk par pieciem vagoniem no vagona ar kontrolrāmi.</w:t>
      </w:r>
    </w:p>
    <w:p w:rsidR="00000000" w:rsidRDefault="00000000">
      <w:pPr>
        <w:ind w:firstLine="684"/>
        <w:jc w:val="both"/>
        <w:rPr>
          <w:sz w:val="28"/>
          <w:szCs w:val="28"/>
        </w:rPr>
      </w:pPr>
    </w:p>
    <w:p w:rsidR="00000000" w:rsidRDefault="00000000">
      <w:pPr>
        <w:ind w:firstLine="684"/>
        <w:jc w:val="both"/>
        <w:rPr>
          <w:sz w:val="28"/>
          <w:szCs w:val="28"/>
        </w:rPr>
      </w:pPr>
      <w:r>
        <w:rPr>
          <w:sz w:val="28"/>
          <w:szCs w:val="28"/>
        </w:rPr>
        <w:br w:type="page"/>
        <w:t xml:space="preserve">8. Vilcienu sastāvos atļauts ievietot krautus transportierus ar celtspēju līdz 300 t, izņemot TSČ-300M tipa (kods 3994) savienotos transportierus. Kārtību, kādā tiek pārsūtīti transportieri ar lielāku celtspēju, kā arī krauti un tukši </w:t>
      </w:r>
      <w:r>
        <w:rPr>
          <w:sz w:val="28"/>
          <w:szCs w:val="28"/>
        </w:rPr>
        <w:br/>
        <w:t>TSČ-300M tipa transportieri, nosaka šo transportieru tehniskās ekspluatācijas noteikumos vai ņemot vērā infrastruktūras pārvaldītāja norādījumus.</w:t>
      </w:r>
    </w:p>
    <w:p w:rsidR="00000000" w:rsidRDefault="00000000">
      <w:pPr>
        <w:ind w:firstLine="684"/>
        <w:jc w:val="both"/>
        <w:rPr>
          <w:sz w:val="28"/>
          <w:szCs w:val="28"/>
        </w:rPr>
      </w:pPr>
    </w:p>
    <w:p w:rsidR="00000000" w:rsidRDefault="00000000">
      <w:pPr>
        <w:ind w:firstLine="684"/>
        <w:jc w:val="both"/>
        <w:rPr>
          <w:sz w:val="28"/>
          <w:szCs w:val="28"/>
        </w:rPr>
      </w:pPr>
      <w:r>
        <w:rPr>
          <w:sz w:val="28"/>
          <w:szCs w:val="28"/>
        </w:rPr>
        <w:t>9. Ievietojot vilciena sastāvā krautus transportierus ar 12 un vairāk asīm (izņemot sakabinātā tipa transportierus ar 120 t celtspēju), tiem abās pusēs novieto ne mazāk par diviem četrasu piesegvagoniem, kuros iekrautā krava nepārsniedz 40 t, vai jebkura tipa tukšus vagonus. Ja vienā vilcienā ievietoti vairāki tādi transportieri, starp tiem novieto ne mazāk par trim piesegvagoniem.</w:t>
      </w:r>
    </w:p>
    <w:p w:rsidR="00000000" w:rsidRDefault="00000000">
      <w:pPr>
        <w:ind w:firstLine="684"/>
        <w:jc w:val="both"/>
        <w:rPr>
          <w:sz w:val="28"/>
          <w:szCs w:val="28"/>
        </w:rPr>
      </w:pPr>
    </w:p>
    <w:p w:rsidR="00000000" w:rsidRDefault="00000000">
      <w:pPr>
        <w:ind w:firstLine="684"/>
        <w:jc w:val="both"/>
        <w:rPr>
          <w:sz w:val="28"/>
          <w:szCs w:val="28"/>
        </w:rPr>
      </w:pPr>
      <w:r>
        <w:rPr>
          <w:sz w:val="28"/>
          <w:szCs w:val="28"/>
        </w:rPr>
        <w:t>10. Krautos un tukšos četrasu un sakabinātā tipa transportierus ar celtspēju 120 t vilcienos ievieto bez piesegvagoniem.</w:t>
      </w:r>
    </w:p>
    <w:p w:rsidR="00000000" w:rsidRDefault="00000000">
      <w:pPr>
        <w:ind w:firstLine="684"/>
        <w:jc w:val="both"/>
        <w:rPr>
          <w:sz w:val="28"/>
          <w:szCs w:val="28"/>
        </w:rPr>
      </w:pPr>
    </w:p>
    <w:p w:rsidR="00000000" w:rsidRDefault="00000000">
      <w:pPr>
        <w:ind w:firstLine="684"/>
        <w:jc w:val="both"/>
        <w:rPr>
          <w:sz w:val="28"/>
          <w:szCs w:val="28"/>
        </w:rPr>
      </w:pPr>
      <w:r>
        <w:rPr>
          <w:sz w:val="28"/>
          <w:szCs w:val="28"/>
        </w:rPr>
        <w:t>11. Ievietot vilcienos sakabinātā tipa transportierus ar celtspēju 120 t (tipa kodi 3960 un 3961) un 240 t (tipa kods 3974) drīkst tikai saskaņā ar šo transportieru tehniskās ekspluatācijas noteikumiem.</w:t>
      </w:r>
    </w:p>
    <w:p w:rsidR="00000000" w:rsidRDefault="00000000">
      <w:pPr>
        <w:ind w:firstLine="684"/>
        <w:jc w:val="both"/>
        <w:rPr>
          <w:sz w:val="28"/>
          <w:szCs w:val="28"/>
        </w:rPr>
      </w:pPr>
    </w:p>
    <w:p w:rsidR="00000000" w:rsidRDefault="00000000">
      <w:pPr>
        <w:ind w:firstLine="684"/>
        <w:jc w:val="both"/>
        <w:rPr>
          <w:sz w:val="28"/>
          <w:szCs w:val="28"/>
        </w:rPr>
      </w:pPr>
      <w:r>
        <w:rPr>
          <w:sz w:val="28"/>
          <w:szCs w:val="28"/>
        </w:rPr>
        <w:t>12. Tukšus transportierus ar astoņām un vairāk asīm, kuri smagāki par 3000 t, vilcienos atļauts izvietot tikai vilciena sastāva pēdējā ceturtdaļā. Mazāka svara vilcienos minētos transportierus drīkst ievietot jebkurā vilciena sastāva daļā.</w:t>
      </w:r>
    </w:p>
    <w:p w:rsidR="00000000" w:rsidRDefault="00000000">
      <w:pPr>
        <w:ind w:firstLine="684"/>
        <w:rPr>
          <w:sz w:val="28"/>
          <w:szCs w:val="28"/>
        </w:rPr>
      </w:pPr>
    </w:p>
    <w:p w:rsidR="00000000" w:rsidRDefault="00000000">
      <w:pPr>
        <w:ind w:firstLine="684"/>
        <w:jc w:val="both"/>
        <w:rPr>
          <w:sz w:val="28"/>
          <w:szCs w:val="28"/>
        </w:rPr>
      </w:pPr>
      <w:r>
        <w:rPr>
          <w:sz w:val="28"/>
          <w:szCs w:val="28"/>
        </w:rPr>
        <w:t>13. Piltuvdozatori (hoperdozatori) drīkst kursēt pa dzelzceļa vispārējās lietošanas ceļiem tikai slēgtos maršrutos, paredzot katrā maršrutā vienu vagonu tā apkalpojošajai brigādei. Piltuvdozatoru (hoperdozatoru) skaitu katrā maršrutā nosaka tehnoloģiskās prasības un to izkraušanas noteikumi.</w:t>
      </w:r>
    </w:p>
    <w:p w:rsidR="00000000" w:rsidRDefault="00000000">
      <w:pPr>
        <w:ind w:firstLine="684"/>
        <w:jc w:val="both"/>
        <w:rPr>
          <w:sz w:val="28"/>
          <w:szCs w:val="28"/>
        </w:rPr>
      </w:pPr>
    </w:p>
    <w:p w:rsidR="00000000" w:rsidRDefault="00000000">
      <w:pPr>
        <w:ind w:firstLine="684"/>
        <w:jc w:val="both"/>
        <w:rPr>
          <w:sz w:val="28"/>
          <w:szCs w:val="28"/>
        </w:rPr>
      </w:pPr>
      <w:r>
        <w:rPr>
          <w:sz w:val="28"/>
          <w:szCs w:val="28"/>
        </w:rPr>
        <w:t xml:space="preserve">14. Krautus un tukšus piltuvdozatorus (hoperdozatorus) var papildināt līdz pilnai vilcienu grafikā noteiktajai garuma vai svara normai ar jebkuru ritošo sastāvu, ja tos nevajag atkabināt starpstacijās un tie neierobežo vilciena kustības noteikto ātrumu. Šī atļauja neattiecas uz pašizgāzējvagoniem (dumpkariem), izņemot 6VC-60 un 7VS-60 tipu. </w:t>
      </w:r>
    </w:p>
    <w:p w:rsidR="00000000" w:rsidRDefault="00000000">
      <w:pPr>
        <w:ind w:firstLine="684"/>
        <w:jc w:val="both"/>
        <w:rPr>
          <w:sz w:val="28"/>
          <w:szCs w:val="28"/>
        </w:rPr>
      </w:pPr>
    </w:p>
    <w:p w:rsidR="00000000" w:rsidRDefault="00000000">
      <w:pPr>
        <w:ind w:firstLine="684"/>
        <w:jc w:val="both"/>
        <w:rPr>
          <w:sz w:val="28"/>
          <w:szCs w:val="28"/>
        </w:rPr>
      </w:pPr>
      <w:r>
        <w:rPr>
          <w:sz w:val="28"/>
          <w:szCs w:val="28"/>
        </w:rPr>
        <w:t>15. Krautu piltuvdozatoru (hoperdozatoru) CNII-2 un CNII-3 maršrutu kopējais svars nedrīkst pārsniegt 2600 t. Šādu vilcienu pieļaujamais ātrums nedrīkst pārsniegt sastāvā ievietoto piltuvdozatoru (hoperdozatoru) pieļaujamo maksimālo ātrumu.</w:t>
      </w:r>
    </w:p>
    <w:p w:rsidR="00000000" w:rsidRDefault="00000000">
      <w:pPr>
        <w:ind w:firstLine="684"/>
        <w:jc w:val="both"/>
        <w:rPr>
          <w:sz w:val="28"/>
          <w:szCs w:val="28"/>
        </w:rPr>
      </w:pPr>
    </w:p>
    <w:p w:rsidR="00000000" w:rsidRDefault="00000000">
      <w:pPr>
        <w:ind w:firstLine="684"/>
        <w:jc w:val="both"/>
        <w:rPr>
          <w:sz w:val="28"/>
          <w:szCs w:val="28"/>
        </w:rPr>
      </w:pPr>
      <w:r>
        <w:rPr>
          <w:sz w:val="28"/>
          <w:szCs w:val="28"/>
        </w:rPr>
        <w:t>16. Ja krautu vai tukšu piltuvdozatoru (hoperdozatoru) maršruts sagatavots braukšanai pa iecirkni ar noteikto ātrumu, piltuvdozatoru (hoperdozatoru) maršruta mašīnists (mehāniķis) nosūtīšanas stacijā ieraksta kravas dokumentos (pavadzīmē, bet, ja dozatori tukši, – pārsūtīšanas pavadzīmē), ka maršruts sagatavots braukšanai, visas piltuvdozatoru (hoperdozatoru) izkraušanas un dozēšanas ierīces pārbaudītas, apskatītas un sagatavotas pilnīgam transportēšanas stāvoklim.</w:t>
      </w:r>
    </w:p>
    <w:p w:rsidR="00000000" w:rsidRDefault="00000000">
      <w:pPr>
        <w:ind w:firstLine="684"/>
        <w:jc w:val="both"/>
        <w:rPr>
          <w:sz w:val="28"/>
          <w:szCs w:val="28"/>
        </w:rPr>
      </w:pPr>
    </w:p>
    <w:p w:rsidR="00000000" w:rsidRDefault="00000000">
      <w:pPr>
        <w:ind w:firstLine="684"/>
        <w:jc w:val="both"/>
        <w:rPr>
          <w:sz w:val="28"/>
          <w:szCs w:val="28"/>
        </w:rPr>
      </w:pPr>
      <w:r>
        <w:rPr>
          <w:sz w:val="28"/>
          <w:szCs w:val="28"/>
        </w:rPr>
        <w:t>17. Piltuvdozatoru (hoperdozatoru) dozēšanas ierīču tehnisko apkopi veic mehāniķu brigāde, kas apkalpo piltuvdozatorus (hoperdozatorus). Vagonu apskati un vagonu daļu remontu veic vagonu tehniskās apkopes punktu darbinieki parastajā kārtībā.</w:t>
      </w:r>
    </w:p>
    <w:p w:rsidR="00000000" w:rsidRDefault="00000000">
      <w:pPr>
        <w:ind w:firstLine="684"/>
        <w:jc w:val="both"/>
        <w:rPr>
          <w:sz w:val="28"/>
          <w:szCs w:val="28"/>
        </w:rPr>
      </w:pPr>
    </w:p>
    <w:p w:rsidR="00000000" w:rsidRDefault="00000000">
      <w:pPr>
        <w:ind w:firstLine="684"/>
        <w:jc w:val="both"/>
        <w:rPr>
          <w:sz w:val="28"/>
          <w:szCs w:val="28"/>
        </w:rPr>
      </w:pPr>
      <w:r>
        <w:rPr>
          <w:sz w:val="28"/>
          <w:szCs w:val="28"/>
        </w:rPr>
        <w:t>18. Kravas vilcienu sastāvā bez mehāniķu pavadības var nosūtīt tikai tukšus piltuvdozatorus (hoperdozatorus) pēc vagonu remonta uzņēmumu vai vagonu īpašnieku (valdītāju) pieprasījuma, ja nepieciešams tos nosūtīt, piemēram, uz pierakstīšanas vietu, remontā vai no remonta. Šādu pārvadājumu noformē saskaņā ar spēkā esošajiem noteikumiem par staciju komerciālās atskaites veikšanu un saskaņā ar bojāto vagonu daudzumu un remonta uzskaiti.</w:t>
      </w:r>
    </w:p>
    <w:p w:rsidR="00000000" w:rsidRDefault="00000000">
      <w:pPr>
        <w:ind w:firstLine="684"/>
        <w:jc w:val="both"/>
        <w:rPr>
          <w:sz w:val="28"/>
          <w:szCs w:val="28"/>
        </w:rPr>
      </w:pPr>
    </w:p>
    <w:p w:rsidR="00000000" w:rsidRDefault="00000000">
      <w:pPr>
        <w:ind w:firstLine="684"/>
        <w:jc w:val="both"/>
        <w:rPr>
          <w:sz w:val="28"/>
          <w:szCs w:val="28"/>
        </w:rPr>
      </w:pPr>
      <w:r>
        <w:rPr>
          <w:sz w:val="28"/>
          <w:szCs w:val="28"/>
        </w:rPr>
        <w:t>19. Pirms piltuvdozatoru (hoperdozatoru) nosūtīšanas nosūtītājs tos sagatavo atbilstoši transportēšanai un nosūtīšanas stacijā pārvadāšanas dokumentos ieraksta, ka tie sagatavoti braucienam ar maksimālo kustības ātrumu.</w:t>
      </w:r>
    </w:p>
    <w:p w:rsidR="00000000" w:rsidRDefault="00000000">
      <w:pPr>
        <w:ind w:firstLine="684"/>
        <w:jc w:val="both"/>
        <w:rPr>
          <w:sz w:val="28"/>
          <w:szCs w:val="28"/>
        </w:rPr>
      </w:pPr>
    </w:p>
    <w:p w:rsidR="00000000" w:rsidRDefault="00000000">
      <w:pPr>
        <w:ind w:firstLine="684"/>
        <w:jc w:val="both"/>
        <w:rPr>
          <w:sz w:val="28"/>
          <w:szCs w:val="28"/>
        </w:rPr>
      </w:pPr>
      <w:r>
        <w:rPr>
          <w:sz w:val="28"/>
          <w:szCs w:val="28"/>
        </w:rPr>
        <w:t>20. Krautu piltuvdozatoru (hoperdozatoru), kas atkabināts no maršruta bojājuma dēļ, līdz tā nosūtīšanai remontā maršruta mehāniķis izkrauj un sagatavo transportēšanai. Stacijas priekšnieks nosūta bojātos piltuvdozatorus (hoperdozatorus) tikai tad, ja tiem ir attiecīgs nosūtīšanas pieteikums, kā arī pārsūtīšanas un pārvadāšanas dokumenti.</w:t>
      </w:r>
    </w:p>
    <w:p w:rsidR="00000000" w:rsidRDefault="00000000">
      <w:pPr>
        <w:ind w:firstLine="684"/>
        <w:jc w:val="both"/>
        <w:rPr>
          <w:strike/>
          <w:sz w:val="28"/>
          <w:szCs w:val="28"/>
        </w:rPr>
      </w:pPr>
    </w:p>
    <w:p w:rsidR="00000000" w:rsidRDefault="00000000">
      <w:pPr>
        <w:ind w:firstLine="684"/>
        <w:jc w:val="both"/>
        <w:rPr>
          <w:sz w:val="28"/>
          <w:szCs w:val="28"/>
        </w:rPr>
      </w:pPr>
      <w:r>
        <w:rPr>
          <w:sz w:val="28"/>
          <w:szCs w:val="28"/>
        </w:rPr>
        <w:t>21. Privāto infrastruktūru pārvaldītājiem un pārvadātājiem piederošie pašizgāzējvagoni (dumpkari) kursē pa dzelzceļa publiskās infrastruktūras ceļiem saskaņā ar publiskās infrastruktūras pārvaldītāja norādījumiem.</w:t>
      </w:r>
    </w:p>
    <w:p w:rsidR="00000000" w:rsidRDefault="00000000">
      <w:pPr>
        <w:ind w:firstLine="684"/>
        <w:jc w:val="both"/>
        <w:rPr>
          <w:sz w:val="28"/>
          <w:szCs w:val="28"/>
        </w:rPr>
      </w:pPr>
    </w:p>
    <w:p w:rsidR="00000000" w:rsidRDefault="00000000">
      <w:pPr>
        <w:ind w:firstLine="684"/>
        <w:jc w:val="both"/>
        <w:rPr>
          <w:sz w:val="28"/>
          <w:szCs w:val="28"/>
        </w:rPr>
      </w:pPr>
      <w:r>
        <w:rPr>
          <w:sz w:val="28"/>
          <w:szCs w:val="28"/>
        </w:rPr>
        <w:t>22. Pirms tiek dota atļauja pašizgāzējvagoniem (dumpkariem) izbraukt uz dzelzceļa publiskās infrastruktūras ceļiem, tos pārbauda attiecīga komisija. Komisijas sastāvā ir vagonu tehniskās apkopes punkta pārstāvji, kā arī stacijas un vagonu īpašnieka (valdītāja) pārstāvji. Komisija sniedz atzinumu par pašizgāzējvagonu (dumpkaru) ekspluatācijas derīgumu uz dzelzceļa publiskās infrastruktūras ceļiem saskaņā ar noteikumiem, kuri norādīti pašizgāzējvagonu (dumpkaru) ekspluatācijas pieteikumā, un sastāda attiecīgu aktu.</w:t>
      </w:r>
    </w:p>
    <w:p w:rsidR="00000000" w:rsidRDefault="00000000">
      <w:pPr>
        <w:ind w:firstLine="684"/>
        <w:jc w:val="both"/>
        <w:rPr>
          <w:sz w:val="28"/>
          <w:szCs w:val="28"/>
        </w:rPr>
      </w:pPr>
    </w:p>
    <w:p w:rsidR="00000000" w:rsidRDefault="00000000">
      <w:pPr>
        <w:ind w:firstLine="684"/>
        <w:jc w:val="both"/>
        <w:rPr>
          <w:sz w:val="28"/>
          <w:szCs w:val="28"/>
        </w:rPr>
      </w:pPr>
      <w:r>
        <w:rPr>
          <w:sz w:val="28"/>
          <w:szCs w:val="28"/>
        </w:rPr>
        <w:t>23. Pa dzelzceļa publiskās infrastruktūras ceļiem drīkst braukt šādi pašizgāzējvagoni (dumpkari):</w:t>
      </w:r>
    </w:p>
    <w:p w:rsidR="00000000" w:rsidRDefault="00000000">
      <w:pPr>
        <w:ind w:firstLine="684"/>
        <w:jc w:val="both"/>
        <w:rPr>
          <w:sz w:val="28"/>
          <w:szCs w:val="28"/>
        </w:rPr>
      </w:pPr>
      <w:r>
        <w:rPr>
          <w:sz w:val="28"/>
          <w:szCs w:val="28"/>
        </w:rPr>
        <w:t>23.1. 6VS-60 un 7VS-60 tipa pašizgāzējvagoni (dumpkari) ar ātrumu, kas noteikts kravas vilcieniem, pilnsastāva maršrutiem, kā arī apvienotām grupām, kas papildinātas ar jebkuru krautu vai tukšu ritošo sastāvu saskaņā ar sastāva formēšanas plānu;</w:t>
      </w:r>
    </w:p>
    <w:p w:rsidR="00000000" w:rsidRDefault="00000000">
      <w:pPr>
        <w:ind w:firstLine="684"/>
        <w:jc w:val="both"/>
        <w:rPr>
          <w:sz w:val="28"/>
          <w:szCs w:val="28"/>
        </w:rPr>
      </w:pPr>
      <w:r>
        <w:rPr>
          <w:sz w:val="28"/>
          <w:szCs w:val="28"/>
        </w:rPr>
        <w:t>23.2. cita tipa pašizgāzējvagoni (dumpkari) ar ātrumu, kas noteikts to attiecīgajiem tipiem maršrutos, ar svaru, ne lielāku par 2600 t, papildinot maršrutus ar jebkuru tukšu ritošo sastāvu līdz noteiktajam sastāva garumam, vai ar krautu ritošo sastāvu – līdz noteiktajai vilciena svara normai.</w:t>
      </w:r>
    </w:p>
    <w:p w:rsidR="00000000" w:rsidRDefault="00000000">
      <w:pPr>
        <w:ind w:firstLine="684"/>
        <w:jc w:val="both"/>
        <w:rPr>
          <w:sz w:val="28"/>
          <w:szCs w:val="28"/>
        </w:rPr>
      </w:pPr>
    </w:p>
    <w:p w:rsidR="00000000" w:rsidRDefault="00000000">
      <w:pPr>
        <w:ind w:firstLine="684"/>
        <w:jc w:val="both"/>
        <w:rPr>
          <w:sz w:val="28"/>
          <w:szCs w:val="28"/>
        </w:rPr>
      </w:pPr>
      <w:r>
        <w:rPr>
          <w:sz w:val="28"/>
          <w:szCs w:val="28"/>
        </w:rPr>
        <w:t>24. Pašizgāzējvagonu (dumpkaru) maršrutus var papildināt tikai ar tādu ritošo sastāvu, kuru nevajag atkabināt starpstacijās un kas neierobežo pašizgāzējvagonu (dumpkaru) maršrutu kustības ātrumu.</w:t>
      </w:r>
    </w:p>
    <w:p w:rsidR="00000000" w:rsidRDefault="00000000">
      <w:pPr>
        <w:ind w:firstLine="684"/>
        <w:jc w:val="both"/>
        <w:rPr>
          <w:sz w:val="28"/>
          <w:szCs w:val="28"/>
        </w:rPr>
      </w:pPr>
    </w:p>
    <w:p w:rsidR="00000000" w:rsidRDefault="00000000">
      <w:pPr>
        <w:ind w:firstLine="684"/>
        <w:jc w:val="both"/>
        <w:rPr>
          <w:sz w:val="28"/>
          <w:szCs w:val="28"/>
        </w:rPr>
      </w:pPr>
      <w:r>
        <w:rPr>
          <w:sz w:val="28"/>
          <w:szCs w:val="28"/>
        </w:rPr>
        <w:t>25. Pašizgāzējvagonu (dumpkaru) maršrutus un apvienotās visu tipu pašizgāzējvagonu (dumpkaru) grupas pavada to īpašnieka norīkota brigāde, kurā ietilpst mašīnists (mehāniķis) un viņa palīgs un kuri pārzina pašizgāzējvagonu (dumpkaru) ierīces un to ekspluatācijas noteikumus.</w:t>
      </w:r>
    </w:p>
    <w:p w:rsidR="00000000" w:rsidRDefault="00000000">
      <w:pPr>
        <w:ind w:firstLine="684"/>
        <w:jc w:val="both"/>
        <w:rPr>
          <w:sz w:val="28"/>
          <w:szCs w:val="28"/>
        </w:rPr>
      </w:pPr>
    </w:p>
    <w:p w:rsidR="00000000" w:rsidRDefault="00000000">
      <w:pPr>
        <w:ind w:firstLine="684"/>
        <w:jc w:val="both"/>
        <w:rPr>
          <w:sz w:val="28"/>
          <w:szCs w:val="28"/>
        </w:rPr>
      </w:pPr>
      <w:r>
        <w:rPr>
          <w:sz w:val="28"/>
          <w:szCs w:val="28"/>
        </w:rPr>
        <w:t>26. Pārsūtīt var tikai tukšus pašizgāzējvagonus (dumpkarus) (piemēram, remontēšanai, uz darba vietu, no remonta), ar ātrumu, kāds noteikts kravas vilcieniem (VS-100 un 2 VS-105 tipa pašizgāzējvagoniem (dumpkariem), ar ātrumu, ne lielāku par 80 km/h), pie tam 6VS-60 un 7VS-60 tipa pašizgāzējvagonus (dumpkarus) var izvietot jebkurā vilciena sastāva vietā, bet pārējos – kravas vilciena beigās.</w:t>
      </w:r>
    </w:p>
    <w:p w:rsidR="00000000" w:rsidRDefault="00000000">
      <w:pPr>
        <w:ind w:firstLine="684"/>
        <w:jc w:val="both"/>
        <w:rPr>
          <w:sz w:val="28"/>
          <w:szCs w:val="28"/>
        </w:rPr>
      </w:pPr>
    </w:p>
    <w:p w:rsidR="00000000" w:rsidRDefault="00000000">
      <w:pPr>
        <w:ind w:firstLine="684"/>
        <w:jc w:val="both"/>
        <w:rPr>
          <w:sz w:val="28"/>
          <w:szCs w:val="28"/>
        </w:rPr>
      </w:pPr>
      <w:r>
        <w:rPr>
          <w:sz w:val="28"/>
          <w:szCs w:val="28"/>
        </w:rPr>
        <w:t>27. Pašizgāzējvagoniem (dumpkariem), kas atrodas uz dzelzceļa publiskās infrastruktūras ceļiem, tehnisko apkopi veic tāpat kā citiem vagoniem.</w:t>
      </w:r>
    </w:p>
    <w:p w:rsidR="00000000" w:rsidRDefault="00000000">
      <w:pPr>
        <w:ind w:firstLine="684"/>
        <w:jc w:val="both"/>
        <w:rPr>
          <w:sz w:val="28"/>
          <w:szCs w:val="28"/>
        </w:rPr>
      </w:pPr>
    </w:p>
    <w:p w:rsidR="00000000" w:rsidRDefault="00000000">
      <w:pPr>
        <w:ind w:firstLine="684"/>
        <w:jc w:val="both"/>
        <w:rPr>
          <w:sz w:val="28"/>
          <w:szCs w:val="28"/>
        </w:rPr>
      </w:pPr>
      <w:r>
        <w:rPr>
          <w:sz w:val="28"/>
          <w:szCs w:val="28"/>
        </w:rPr>
        <w:t>28. Krautu pašizgāzējvagonu (dumpkaru) atkabināšanu no pašizgāzēj</w:t>
      </w:r>
      <w:r>
        <w:rPr>
          <w:sz w:val="28"/>
          <w:szCs w:val="28"/>
        </w:rPr>
        <w:softHyphen/>
        <w:t>vagonu (dumpkaru) maršrutiem tehniska vai komerciāla bojājuma dēļ noformē saskaņā ar noteikumiem par kravu pārvadāšanu maršrutos un vagonu grupās ar vienu kopējo kravas pavadzīmi. Nosūtīšanas dokumentos norāda īpašas atzīmes, kas ir kravas pamatdokumentos, un obligāti uzraksta VU-23 veidlapas paziņojumu.</w:t>
      </w:r>
    </w:p>
    <w:p w:rsidR="00000000" w:rsidRDefault="00000000">
      <w:pPr>
        <w:ind w:firstLine="684"/>
        <w:jc w:val="both"/>
        <w:rPr>
          <w:strike/>
          <w:sz w:val="28"/>
          <w:szCs w:val="28"/>
        </w:rPr>
      </w:pPr>
    </w:p>
    <w:p w:rsidR="00000000" w:rsidRDefault="00000000">
      <w:pPr>
        <w:ind w:firstLine="684"/>
        <w:jc w:val="both"/>
        <w:rPr>
          <w:sz w:val="28"/>
          <w:szCs w:val="28"/>
        </w:rPr>
      </w:pPr>
      <w:r>
        <w:rPr>
          <w:sz w:val="28"/>
          <w:szCs w:val="28"/>
        </w:rPr>
        <w:t>29. Smagā tipa ceļa remontmašīnas (piemēram, sliežu licējceltņi, šķembu attīrīšanas mašīnas, sniegvācējmašīnas), dzelzceļa kravas celtņus un citas speciālā ritošā sastāva vienības (piemēram, pārvietojamās elektroiekārtas mašīnas kontakttīklu balstu pāļveida pamatu būvbedru rakšanai) pārsūta (kravas vilcienos vai ar atsevišķu vilces līdzekli) tikai pēc tās struktūrvienības pieprasījuma, kurai pieder šis agregāts.</w:t>
      </w:r>
    </w:p>
    <w:p w:rsidR="00000000" w:rsidRDefault="00000000">
      <w:pPr>
        <w:ind w:firstLine="684"/>
        <w:jc w:val="both"/>
        <w:rPr>
          <w:sz w:val="28"/>
          <w:szCs w:val="28"/>
        </w:rPr>
      </w:pPr>
    </w:p>
    <w:p w:rsidR="00000000" w:rsidRDefault="00000000">
      <w:pPr>
        <w:ind w:firstLine="684"/>
        <w:jc w:val="both"/>
        <w:rPr>
          <w:sz w:val="28"/>
          <w:szCs w:val="28"/>
        </w:rPr>
      </w:pPr>
      <w:r>
        <w:rPr>
          <w:sz w:val="28"/>
          <w:szCs w:val="28"/>
        </w:rPr>
        <w:t>30. Šī pielikuma 29.punktā minētos agregātus transportēšanai ar vilcienu sagatavo kravas nosūtītājs saskaņā ar tehnisko noteikumu (instrukciju) prasībām vai saskaņā ar attiecīgā agregāta pases datiem. Par agregāta sagatavošanu transportēšanai nosūtītājs ieraksta pārvadājuma dokumentos. Agregāta sagatavo</w:t>
      </w:r>
      <w:r>
        <w:rPr>
          <w:sz w:val="28"/>
          <w:szCs w:val="28"/>
        </w:rPr>
        <w:softHyphen/>
        <w:t>tību transportēšanai vilcienā pārbauda infrastruktūras pārvaldītāja izveidota komisija.</w:t>
      </w:r>
    </w:p>
    <w:p w:rsidR="00000000" w:rsidRDefault="00000000">
      <w:pPr>
        <w:ind w:firstLine="684"/>
        <w:jc w:val="both"/>
        <w:rPr>
          <w:sz w:val="28"/>
          <w:szCs w:val="28"/>
        </w:rPr>
      </w:pPr>
    </w:p>
    <w:p w:rsidR="00000000" w:rsidRDefault="00000000">
      <w:pPr>
        <w:ind w:firstLine="684"/>
        <w:jc w:val="both"/>
        <w:rPr>
          <w:sz w:val="28"/>
          <w:szCs w:val="28"/>
        </w:rPr>
      </w:pPr>
      <w:r>
        <w:rPr>
          <w:sz w:val="28"/>
          <w:szCs w:val="28"/>
        </w:rPr>
        <w:t>31. Agregātus ievieto kravas vilcienos saskaņā ar tehnisko noteikumu (instrukciju) prasībām vai saskaņā ar pases datiem, kas nosaka attiecīgo agregātu ekspluatācijas kārtību. Ja saskaņā ar attiecīgajiem tehniskajiem noteikumiem (instrukcijām) vai pases datiem agregātu nepieciešams pārvadāt ar ātrumu, kas ir mazāks par kravas vilcienam grafikā paredzēto ātrumu, nosūtītājs dokumentā par agregāta gatavību transportēšanai norāda šo maksimālo ātrumu.</w:t>
      </w:r>
    </w:p>
    <w:p w:rsidR="00000000" w:rsidRDefault="00000000">
      <w:pPr>
        <w:ind w:firstLine="684"/>
        <w:jc w:val="both"/>
        <w:rPr>
          <w:sz w:val="16"/>
          <w:szCs w:val="16"/>
        </w:rPr>
      </w:pPr>
    </w:p>
    <w:p w:rsidR="00000000" w:rsidRDefault="00000000">
      <w:pPr>
        <w:ind w:firstLine="684"/>
        <w:jc w:val="both"/>
        <w:rPr>
          <w:sz w:val="28"/>
          <w:szCs w:val="28"/>
        </w:rPr>
      </w:pPr>
      <w:r>
        <w:rPr>
          <w:sz w:val="28"/>
          <w:szCs w:val="28"/>
        </w:rPr>
        <w:t>32. Bojātas lokomotīves un citus vilces līdzekļus nosūta pēc pārvadātāja, vilces ritošā sastāva īpašnieka (valdītāja) vai vilces ritošā sastāva remonta uzņēmuma vadības pieprasījuma, iepriekš pārbaudot vilces līdzekļa tehnisko stāvokli, ko noformē ar noteikta parauga aktu. Aktā, ko kopā ar pieprasījumu uzrāda nosūtīšanas stacijas priekšniekam, norāda vilces līdzekļa atļauto maksimālo braukšanas ātrumu. Akta otro eksemplāru izsniedz vilces līdzekļa pavadonim.</w:t>
      </w:r>
    </w:p>
    <w:p w:rsidR="00000000" w:rsidRDefault="00000000">
      <w:pPr>
        <w:ind w:firstLine="684"/>
        <w:jc w:val="both"/>
        <w:rPr>
          <w:sz w:val="28"/>
          <w:szCs w:val="28"/>
        </w:rPr>
      </w:pPr>
    </w:p>
    <w:p w:rsidR="00000000" w:rsidRDefault="00000000">
      <w:pPr>
        <w:ind w:firstLine="684"/>
        <w:jc w:val="both"/>
        <w:rPr>
          <w:sz w:val="28"/>
          <w:szCs w:val="28"/>
        </w:rPr>
      </w:pPr>
      <w:r>
        <w:rPr>
          <w:sz w:val="28"/>
          <w:szCs w:val="28"/>
        </w:rPr>
        <w:t>33. Bojātas lokomotīves, kuras jātransportē, ievieto kravas vilcienā aiz priekšējā vilces līdzekļa (ne vairāk kā divas viensekcijas vai vienu divsekciju vai trīssekciju lokomotīvi). Lokomotīvju pārsūtīšanu grupās veic atbilstoši infrastruktūras pārvaldītāja norādījumiem, saskaņojot ar pārvadātāju. Pārsūtot motorvagonu ritošo sastāvu kravas vilcienos, to novieto vilciena galā (pēdējos).</w:t>
      </w:r>
    </w:p>
    <w:p w:rsidR="00000000" w:rsidRDefault="00000000">
      <w:pPr>
        <w:ind w:firstLine="684"/>
        <w:rPr>
          <w:strike/>
          <w:sz w:val="28"/>
          <w:szCs w:val="28"/>
        </w:rPr>
      </w:pPr>
    </w:p>
    <w:p w:rsidR="00000000" w:rsidRDefault="00000000">
      <w:pPr>
        <w:ind w:firstLine="684"/>
        <w:jc w:val="both"/>
        <w:rPr>
          <w:sz w:val="28"/>
          <w:szCs w:val="28"/>
        </w:rPr>
      </w:pPr>
      <w:r>
        <w:rPr>
          <w:sz w:val="28"/>
          <w:szCs w:val="28"/>
        </w:rPr>
        <w:t>34. Speciālos formējumus pārsūta, ja šo formējumu priekšnieks iesniedzis pieteikumu saskaņā ar infrastruktūras pārvaldītāja attiecīgu rīkojumu. Saskaņā ar šo formējumu raksturu un ritošā sastāva tipiem infrastruktūras pārvaldītāja rīkojumā norāda kustības drošību un kārtību.</w:t>
      </w:r>
    </w:p>
    <w:p w:rsidR="00000000" w:rsidRDefault="00000000">
      <w:pPr>
        <w:ind w:firstLine="684"/>
        <w:jc w:val="both"/>
        <w:rPr>
          <w:sz w:val="28"/>
          <w:szCs w:val="28"/>
        </w:rPr>
      </w:pPr>
    </w:p>
    <w:p w:rsidR="00000000" w:rsidRDefault="00000000">
      <w:pPr>
        <w:ind w:firstLine="684"/>
        <w:jc w:val="both"/>
        <w:rPr>
          <w:sz w:val="28"/>
          <w:szCs w:val="28"/>
        </w:rPr>
      </w:pPr>
      <w:r>
        <w:rPr>
          <w:sz w:val="28"/>
          <w:szCs w:val="28"/>
        </w:rPr>
        <w:t>35. Atsevišķos gadījumos tvaika lokomotīvju izmantošanas kārtību speciālajos vilcienos (piemēram, tūristu retrovilcienos) nosaka infrastruktūras pārvaldītājs, saskaņojot ar pārvadātāju.</w:t>
      </w:r>
    </w:p>
    <w:p w:rsidR="00000000" w:rsidRDefault="00000000">
      <w:pPr>
        <w:ind w:firstLine="684"/>
        <w:jc w:val="both"/>
        <w:rPr>
          <w:sz w:val="28"/>
          <w:szCs w:val="28"/>
        </w:rPr>
      </w:pPr>
    </w:p>
    <w:p w:rsidR="00000000" w:rsidRDefault="00000000">
      <w:pPr>
        <w:tabs>
          <w:tab w:val="left" w:pos="6804"/>
        </w:tabs>
        <w:ind w:firstLine="684"/>
        <w:jc w:val="both"/>
        <w:rPr>
          <w:sz w:val="28"/>
          <w:szCs w:val="28"/>
        </w:rPr>
      </w:pPr>
    </w:p>
    <w:p w:rsidR="00000000" w:rsidRDefault="00000000">
      <w:pPr>
        <w:tabs>
          <w:tab w:val="left" w:pos="6804"/>
        </w:tabs>
        <w:ind w:firstLine="684"/>
        <w:jc w:val="both"/>
        <w:rPr>
          <w:sz w:val="28"/>
          <w:szCs w:val="28"/>
        </w:rPr>
      </w:pPr>
    </w:p>
    <w:p w:rsidR="00000000" w:rsidRDefault="00000000">
      <w:pPr>
        <w:tabs>
          <w:tab w:val="left" w:pos="6783"/>
          <w:tab w:val="left" w:pos="7560"/>
        </w:tabs>
        <w:ind w:firstLine="684"/>
        <w:jc w:val="both"/>
        <w:rPr>
          <w:sz w:val="28"/>
          <w:szCs w:val="28"/>
        </w:rPr>
      </w:pPr>
      <w:r>
        <w:rPr>
          <w:sz w:val="28"/>
          <w:szCs w:val="28"/>
        </w:rPr>
        <w:t>Satiksmes ministrs</w:t>
      </w:r>
      <w:r>
        <w:rPr>
          <w:sz w:val="28"/>
          <w:szCs w:val="28"/>
        </w:rPr>
        <w:tab/>
        <w:t>K.Peters</w:t>
      </w:r>
    </w:p>
    <w:sectPr w:rsidR="00000000">
      <w:headerReference w:type="even" r:id="rId6"/>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imTime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Footer"/>
      <w:rPr>
        <w:sz w:val="16"/>
      </w:rPr>
    </w:pPr>
    <w:r>
      <w:rPr>
        <w:sz w:val="16"/>
      </w:rPr>
      <w:fldChar w:fldCharType="begin"/>
    </w:r>
    <w:r>
      <w:rPr>
        <w:sz w:val="16"/>
      </w:rPr>
      <w:instrText xml:space="preserve"> FILENAME  \* MERGEFORMAT </w:instrText>
    </w:r>
    <w:r>
      <w:rPr>
        <w:sz w:val="16"/>
      </w:rPr>
      <w:fldChar w:fldCharType="separate"/>
    </w:r>
    <w:r>
      <w:rPr>
        <w:noProof/>
        <w:sz w:val="16"/>
      </w:rPr>
      <w:t>N1430_6p2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Footer"/>
      <w:rPr>
        <w:sz w:val="16"/>
      </w:rPr>
    </w:pPr>
    <w:r>
      <w:rPr>
        <w:sz w:val="16"/>
      </w:rPr>
      <w:fldChar w:fldCharType="begin"/>
    </w:r>
    <w:r>
      <w:rPr>
        <w:sz w:val="16"/>
      </w:rPr>
      <w:instrText xml:space="preserve"> FILENAME  \* MERGEFORMAT </w:instrText>
    </w:r>
    <w:r>
      <w:rPr>
        <w:sz w:val="16"/>
      </w:rPr>
      <w:fldChar w:fldCharType="separate"/>
    </w:r>
    <w:r>
      <w:rPr>
        <w:noProof/>
        <w:sz w:val="16"/>
      </w:rPr>
      <w:t>N1430_6p2</w:t>
    </w:r>
    <w:r>
      <w:rPr>
        <w:sz w:val="16"/>
      </w:rPr>
      <w:fldChar w:fldCharType="end"/>
    </w:r>
    <w:r>
      <w:rPr>
        <w:sz w:val="16"/>
      </w:rPr>
      <w:t xml:space="preserve"> v_sk. = </w:t>
    </w:r>
    <w:r>
      <w:rPr>
        <w:sz w:val="16"/>
      </w:rPr>
      <w:fldChar w:fldCharType="begin"/>
    </w:r>
    <w:r>
      <w:rPr>
        <w:sz w:val="16"/>
      </w:rPr>
      <w:instrText xml:space="preserve"> NUMWORDS  \* MERGEFORMAT </w:instrText>
    </w:r>
    <w:r>
      <w:rPr>
        <w:sz w:val="16"/>
      </w:rPr>
      <w:fldChar w:fldCharType="separate"/>
    </w:r>
    <w:r>
      <w:rPr>
        <w:noProof/>
        <w:sz w:val="16"/>
      </w:rPr>
      <w:t>1366</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57"/>
  <w:drawingGridVerticalSpacing w:val="5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1BF2A84-6694-4106-93E1-0EFDFFCF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lv-LV"/>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pPr>
      <w:spacing w:before="75" w:after="75"/>
      <w:jc w:val="right"/>
    </w:pPr>
    <w:rPr>
      <w:szCs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Balonteksts1">
    <w:name w:val="Balonteksts1"/>
    <w:basedOn w:val="Normal"/>
    <w:semiHidden/>
    <w:rPr>
      <w:rFonts w:ascii="Tahoma" w:hAnsi="Tahoma" w:cs="Tahoma"/>
      <w:sz w:val="16"/>
      <w:szCs w:val="16"/>
    </w:rPr>
  </w:style>
  <w:style w:type="paragraph" w:styleId="BodyText2">
    <w:name w:val="Body Text 2"/>
    <w:basedOn w:val="Normal"/>
    <w:semiHidden/>
    <w:pPr>
      <w:tabs>
        <w:tab w:val="left" w:pos="709"/>
      </w:tabs>
      <w:ind w:left="6804"/>
    </w:pPr>
    <w:rPr>
      <w:rFonts w:ascii="RimTimes" w:hAnsi="RimTimes"/>
      <w:noProof/>
      <w:sz w:val="28"/>
    </w:rPr>
  </w:style>
  <w:style w:type="paragraph" w:styleId="BalloonText">
    <w:name w:val="Balloon Text"/>
    <w:basedOn w:val="Normal"/>
    <w:semiHidden/>
    <w:rPr>
      <w:rFonts w:ascii="Tahoma" w:hAnsi="Tahoma" w:cs="Tahoma"/>
      <w:sz w:val="16"/>
      <w:szCs w:val="16"/>
    </w:rPr>
  </w:style>
  <w:style w:type="paragraph" w:customStyle="1" w:styleId="naisf">
    <w:name w:val="naisf"/>
    <w:basedOn w:val="Normal"/>
    <w:pPr>
      <w:spacing w:before="75" w:after="75"/>
      <w:ind w:firstLine="375"/>
      <w:jc w:val="both"/>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1656</Words>
  <Characters>9444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10.pielikums "Dzelzceļa tehniskās ekspuatācijas noteikumi par vilcienu kustības un manervu darbu"</vt:lpstr>
    </vt:vector>
  </TitlesOfParts>
  <Company>Satiksmes ministrija</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10.pielikums "Dzelzceļa tehniskās ekspuatācijas noteikumi par vilcienu kustības un manervu darbu"</dc:title>
  <dc:subject>10.pielikums</dc:subject>
  <dc:creator>Kristīne Bondare</dc:creator>
  <cp:keywords/>
  <dc:description>kristine.bondare@sam.gov.lv_x000d_
7028371</dc:description>
  <cp:lastModifiedBy>SandraS</cp:lastModifiedBy>
  <cp:revision>2</cp:revision>
  <cp:lastPrinted>2006-09-04T11:28:00Z</cp:lastPrinted>
  <dcterms:created xsi:type="dcterms:W3CDTF">2006-09-28T08:58:00Z</dcterms:created>
  <dcterms:modified xsi:type="dcterms:W3CDTF">2006-09-28T08:58:00Z</dcterms:modified>
</cp:coreProperties>
</file>