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D38F" w14:textId="77777777" w:rsidR="009C7889" w:rsidRPr="002D095D" w:rsidRDefault="009C7889" w:rsidP="009C7889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2. pielikums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Ministru kabineta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2026. gada 9. jūnija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noteikumiem Nr. 322</w:t>
      </w:r>
    </w:p>
    <w:p w14:paraId="6AFBD9E2" w14:textId="77777777" w:rsidR="009C7889" w:rsidRPr="002D095D" w:rsidRDefault="009C7889" w:rsidP="009C7889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"102. pielikums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Ministru kabineta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2006. gada 4. aprīļa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noteikumiem Nr. 265</w:t>
      </w:r>
    </w:p>
    <w:p w14:paraId="5AE29123" w14:textId="77777777" w:rsidR="009C7889" w:rsidRPr="002D095D" w:rsidRDefault="009C7889" w:rsidP="009C7889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  <w:lang w:val="lv-LV" w:eastAsia="lv-LV"/>
        </w:rPr>
      </w:pPr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 xml:space="preserve">Nosūtījums uz </w:t>
      </w:r>
      <w:proofErr w:type="spellStart"/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>kolposkopiju</w:t>
      </w:r>
      <w:proofErr w:type="spellEnd"/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 xml:space="preserve">, onkoloģijas ginekologa konsultāciju </w:t>
      </w:r>
      <w:r>
        <w:rPr>
          <w:rFonts w:ascii="Cambria" w:eastAsia="Times New Roman" w:hAnsi="Cambria" w:cs="Times New Roman"/>
          <w:b/>
          <w:szCs w:val="19"/>
          <w:lang w:val="lv-LV" w:eastAsia="lv-LV"/>
        </w:rPr>
        <w:br/>
      </w:r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 xml:space="preserve">pēc dzemdes kakla vēža </w:t>
      </w:r>
      <w:proofErr w:type="spellStart"/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>skrīninga</w:t>
      </w:r>
      <w:proofErr w:type="spellEnd"/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 xml:space="preserve"> izmeklējumiem sievietēm </w:t>
      </w:r>
      <w:r>
        <w:rPr>
          <w:rFonts w:ascii="Cambria" w:eastAsia="Times New Roman" w:hAnsi="Cambria" w:cs="Times New Roman"/>
          <w:b/>
          <w:szCs w:val="19"/>
          <w:lang w:val="lv-LV" w:eastAsia="lv-LV"/>
        </w:rPr>
        <w:br/>
      </w:r>
      <w:r w:rsidRPr="002D095D">
        <w:rPr>
          <w:rFonts w:ascii="Cambria" w:eastAsia="Times New Roman" w:hAnsi="Cambria" w:cs="Times New Roman"/>
          <w:b/>
          <w:szCs w:val="19"/>
          <w:lang w:val="lv-LV" w:eastAsia="lv-LV"/>
        </w:rPr>
        <w:t>vecumā no 25 līdz 29 gadiem</w:t>
      </w:r>
    </w:p>
    <w:p w14:paraId="40E6C40E" w14:textId="77777777" w:rsidR="009C7889" w:rsidRPr="00920231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6FFC2CD7" w14:textId="77777777" w:rsidR="009C7889" w:rsidRPr="00920231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Datums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</w:t>
      </w:r>
    </w:p>
    <w:p w14:paraId="3851398E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Ārstniecības iestāde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</w:t>
      </w:r>
    </w:p>
    <w:p w14:paraId="1F19C365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Uzaicinājuma vēstules Nr.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</w:t>
      </w:r>
    </w:p>
    <w:p w14:paraId="3A69C61E" w14:textId="77777777" w:rsidR="009C7889" w:rsidRPr="00920231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Vārds, uzvārds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</w:t>
      </w:r>
    </w:p>
    <w:p w14:paraId="06E2513B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Personas kods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◻◻◻◻◻◻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– </w:t>
      </w: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◻◻◻◻◻</w:t>
      </w:r>
    </w:p>
    <w:p w14:paraId="3353003A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Adrese __________________________________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</w:t>
      </w:r>
    </w:p>
    <w:p w14:paraId="123C88F7" w14:textId="77777777" w:rsidR="009C7889" w:rsidRPr="002D095D" w:rsidRDefault="009C7889" w:rsidP="009C7889">
      <w:pPr>
        <w:spacing w:before="130" w:after="13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Pacienta anamnēze: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9C7889" w:rsidRPr="00920231" w14:paraId="579BE1A8" w14:textId="77777777" w:rsidTr="00762138">
        <w:trPr>
          <w:cantSplit/>
          <w:trHeight w:val="340"/>
        </w:trPr>
        <w:tc>
          <w:tcPr>
            <w:tcW w:w="8529" w:type="dxa"/>
            <w:tcBorders>
              <w:bottom w:val="single" w:sz="4" w:space="0" w:color="auto"/>
            </w:tcBorders>
            <w:vAlign w:val="center"/>
          </w:tcPr>
          <w:p w14:paraId="375F21AE" w14:textId="77777777" w:rsidR="009C7889" w:rsidRPr="00920231" w:rsidRDefault="009C7889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9C7889" w:rsidRPr="00920231" w14:paraId="5CEF9653" w14:textId="77777777" w:rsidTr="00762138">
        <w:trPr>
          <w:cantSplit/>
          <w:trHeight w:val="340"/>
        </w:trPr>
        <w:tc>
          <w:tcPr>
            <w:tcW w:w="8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CD4E2" w14:textId="77777777" w:rsidR="009C7889" w:rsidRPr="00920231" w:rsidRDefault="009C7889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9C7889" w:rsidRPr="00920231" w14:paraId="7B8B64FB" w14:textId="77777777" w:rsidTr="00762138">
        <w:trPr>
          <w:cantSplit/>
          <w:trHeight w:val="340"/>
        </w:trPr>
        <w:tc>
          <w:tcPr>
            <w:tcW w:w="8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6DF24" w14:textId="77777777" w:rsidR="009C7889" w:rsidRPr="00920231" w:rsidRDefault="009C7889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9C7889" w:rsidRPr="00920231" w14:paraId="03E7422A" w14:textId="77777777" w:rsidTr="00762138">
        <w:trPr>
          <w:cantSplit/>
          <w:trHeight w:val="340"/>
        </w:trPr>
        <w:tc>
          <w:tcPr>
            <w:tcW w:w="8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DE998" w14:textId="77777777" w:rsidR="009C7889" w:rsidRPr="00920231" w:rsidRDefault="009C7889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59E205D8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4F071F56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Ja iepriekš ir saņemta dzemdes kakla ārstēšana, norādīt ārstēšanas veidu un datumu (mēnesis/gads):</w:t>
      </w:r>
    </w:p>
    <w:p w14:paraId="5F4A0759" w14:textId="77777777" w:rsidR="009C7889" w:rsidRPr="00920231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proofErr w:type="spellStart"/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krioterapija</w:t>
      </w:r>
      <w:proofErr w:type="spellEnd"/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__–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p w14:paraId="3608CAC2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proofErr w:type="spellStart"/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diatermokoagulācija</w:t>
      </w:r>
      <w:proofErr w:type="spellEnd"/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__–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p w14:paraId="0A573DC3" w14:textId="77777777" w:rsidR="009C7889" w:rsidRPr="00920231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dozētā koagulācija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__–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p w14:paraId="4FE907AE" w14:textId="77777777" w:rsidR="009C7889" w:rsidRPr="002D095D" w:rsidRDefault="009C7889" w:rsidP="009C7889">
      <w:pPr>
        <w:spacing w:before="130" w:after="13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position w:val="-2"/>
          <w:sz w:val="26"/>
          <w:szCs w:val="26"/>
          <w:lang w:val="lv-LV" w:eastAsia="lv-LV"/>
        </w:rPr>
        <w:t>◻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proofErr w:type="spellStart"/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elektroekscīzija</w:t>
      </w:r>
      <w:proofErr w:type="spellEnd"/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ar cilpu vai konusu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__–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</w:t>
      </w:r>
      <w:r w:rsidRPr="00920231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</w:t>
      </w: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3"/>
        <w:gridCol w:w="4592"/>
        <w:gridCol w:w="3235"/>
      </w:tblGrid>
      <w:tr w:rsidR="009C7889" w:rsidRPr="00920231" w14:paraId="03E3E948" w14:textId="77777777" w:rsidTr="00762138">
        <w:trPr>
          <w:cantSplit/>
          <w:trHeight w:val="340"/>
        </w:trPr>
        <w:tc>
          <w:tcPr>
            <w:tcW w:w="879" w:type="dxa"/>
            <w:vAlign w:val="bottom"/>
          </w:tcPr>
          <w:p w14:paraId="39D86DA3" w14:textId="77777777" w:rsidR="009C7889" w:rsidRPr="00920231" w:rsidRDefault="009C7889" w:rsidP="00762138">
            <w:pPr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cita</w:t>
            </w:r>
          </w:p>
        </w:tc>
        <w:tc>
          <w:tcPr>
            <w:tcW w:w="8702" w:type="dxa"/>
            <w:gridSpan w:val="2"/>
            <w:tcBorders>
              <w:bottom w:val="single" w:sz="4" w:space="0" w:color="auto"/>
            </w:tcBorders>
            <w:vAlign w:val="center"/>
          </w:tcPr>
          <w:p w14:paraId="3EF2CE5F" w14:textId="77777777" w:rsidR="009C7889" w:rsidRPr="00920231" w:rsidRDefault="009C7889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9C7889" w:rsidRPr="00920231" w14:paraId="793C510B" w14:textId="77777777" w:rsidTr="00762138">
        <w:trPr>
          <w:cantSplit/>
          <w:trHeight w:val="340"/>
        </w:trPr>
        <w:tc>
          <w:tcPr>
            <w:tcW w:w="6124" w:type="dxa"/>
            <w:gridSpan w:val="2"/>
            <w:tcBorders>
              <w:bottom w:val="single" w:sz="4" w:space="0" w:color="auto"/>
            </w:tcBorders>
            <w:vAlign w:val="center"/>
          </w:tcPr>
          <w:p w14:paraId="59792FAB" w14:textId="77777777" w:rsidR="009C7889" w:rsidRPr="00920231" w:rsidRDefault="009C7889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3457" w:type="dxa"/>
            <w:vAlign w:val="bottom"/>
          </w:tcPr>
          <w:p w14:paraId="19269C06" w14:textId="77777777" w:rsidR="009C7889" w:rsidRPr="00920231" w:rsidRDefault="009C7889" w:rsidP="00762138">
            <w:pPr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(___________</w:t>
            </w:r>
            <w:r w:rsidRPr="00920231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__–</w:t>
            </w: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______________</w:t>
            </w:r>
            <w:r w:rsidRPr="00920231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________</w:t>
            </w: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)</w:t>
            </w:r>
          </w:p>
        </w:tc>
      </w:tr>
    </w:tbl>
    <w:p w14:paraId="19FDFC0C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3FBB2550" w14:textId="77777777" w:rsidR="009C7889" w:rsidRPr="002D095D" w:rsidRDefault="009C7889" w:rsidP="009C7889">
      <w:pPr>
        <w:spacing w:before="130" w:after="13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lastRenderedPageBreak/>
        <w:t>Atzīmēt pēdējā atbilstošā testa rezultātu un datumu: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2"/>
        <w:gridCol w:w="1321"/>
        <w:gridCol w:w="6187"/>
      </w:tblGrid>
      <w:tr w:rsidR="009C7889" w:rsidRPr="00920231" w14:paraId="2D2A1BDE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09933672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Rezultāts</w:t>
            </w:r>
          </w:p>
        </w:tc>
        <w:tc>
          <w:tcPr>
            <w:tcW w:w="1418" w:type="dxa"/>
            <w:vAlign w:val="center"/>
            <w:hideMark/>
          </w:tcPr>
          <w:p w14:paraId="6F9C78B8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Datums</w:t>
            </w:r>
          </w:p>
        </w:tc>
        <w:tc>
          <w:tcPr>
            <w:tcW w:w="7001" w:type="dxa"/>
            <w:vAlign w:val="center"/>
            <w:hideMark/>
          </w:tcPr>
          <w:p w14:paraId="60D02BB8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Apraksts</w:t>
            </w:r>
          </w:p>
        </w:tc>
      </w:tr>
      <w:tr w:rsidR="009C7889" w:rsidRPr="00920231" w14:paraId="3770F946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437BEE50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A0</w:t>
            </w:r>
          </w:p>
        </w:tc>
        <w:tc>
          <w:tcPr>
            <w:tcW w:w="1418" w:type="dxa"/>
            <w:vAlign w:val="center"/>
            <w:hideMark/>
          </w:tcPr>
          <w:p w14:paraId="047244AA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2EC0D9D1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Testēšana bez rezultāta: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citoloģisko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analīzi atkārto pēc 3 mēnešiem. Ja</w:t>
            </w:r>
            <w:r w:rsidRPr="00920231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</w:t>
            </w: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2 reizes ir šāda atbilde, jāveic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9C7889" w:rsidRPr="00920231" w14:paraId="1E90A9D1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0417BDD0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A1</w:t>
            </w:r>
          </w:p>
        </w:tc>
        <w:tc>
          <w:tcPr>
            <w:tcW w:w="1418" w:type="dxa"/>
            <w:vAlign w:val="center"/>
            <w:hideMark/>
          </w:tcPr>
          <w:p w14:paraId="1DD97DB3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3BB80B27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Nav atrasts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intraepiteliāls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bojājums: turpmāka izmeklēšana nav nepieciešama, analīzi atkārtoti veic pēc jaunas uzaicinājuma vēstules saņemšanas</w:t>
            </w:r>
          </w:p>
        </w:tc>
      </w:tr>
      <w:tr w:rsidR="009C7889" w:rsidRPr="00920231" w14:paraId="209BDBE9" w14:textId="77777777" w:rsidTr="00762138">
        <w:trPr>
          <w:cantSplit/>
        </w:trPr>
        <w:tc>
          <w:tcPr>
            <w:tcW w:w="1162" w:type="dxa"/>
            <w:vMerge w:val="restart"/>
            <w:vAlign w:val="center"/>
            <w:hideMark/>
          </w:tcPr>
          <w:p w14:paraId="2ECF77D1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A2</w:t>
            </w:r>
          </w:p>
        </w:tc>
        <w:tc>
          <w:tcPr>
            <w:tcW w:w="1418" w:type="dxa"/>
            <w:vAlign w:val="center"/>
            <w:hideMark/>
          </w:tcPr>
          <w:p w14:paraId="68344BF0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39522D2D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ASC-US neskaidras nozīmes daudzkārtainā plakanā (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skvamozā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) epitēlija šūnu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atipiskās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izmaiņas, augsta riska cilvēka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papilomas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vīrusi (AR CPV) nav atrasti: turpmāka izmeklēšana nav nepieciešama, analīzi atkārtoti veic pēc jaunas uzaicinājuma vēstules saņemšanas</w:t>
            </w:r>
          </w:p>
        </w:tc>
      </w:tr>
      <w:tr w:rsidR="009C7889" w:rsidRPr="00920231" w14:paraId="613F9A17" w14:textId="77777777" w:rsidTr="00762138">
        <w:trPr>
          <w:cantSplit/>
        </w:trPr>
        <w:tc>
          <w:tcPr>
            <w:tcW w:w="1162" w:type="dxa"/>
            <w:vMerge/>
            <w:vAlign w:val="center"/>
            <w:hideMark/>
          </w:tcPr>
          <w:p w14:paraId="165034D7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418" w:type="dxa"/>
            <w:vAlign w:val="center"/>
            <w:hideMark/>
          </w:tcPr>
          <w:p w14:paraId="1E07E29E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2F8D77F4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ASC-US neskaidras nozīmes daudzkārtainā plakanā (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skvamozā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) epitēlija šūnu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atipiskās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izmaiņas, AR CPV ir atrasti: jāveic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9C7889" w:rsidRPr="00920231" w14:paraId="263F0508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60074503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AH</w:t>
            </w:r>
          </w:p>
        </w:tc>
        <w:tc>
          <w:tcPr>
            <w:tcW w:w="1418" w:type="dxa"/>
            <w:vAlign w:val="center"/>
            <w:hideMark/>
          </w:tcPr>
          <w:p w14:paraId="11EF6A12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28C4F02F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ASC-H neskaidras nozīmes daudzkārtainā plakanā (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skvamozā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) epitēlija šūnu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atipiskās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izmaiņas, nevar izslēgt HSIL: jāveic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9C7889" w:rsidRPr="00920231" w14:paraId="404C2D83" w14:textId="77777777" w:rsidTr="00762138">
        <w:trPr>
          <w:cantSplit/>
        </w:trPr>
        <w:tc>
          <w:tcPr>
            <w:tcW w:w="1162" w:type="dxa"/>
            <w:vMerge w:val="restart"/>
            <w:vAlign w:val="center"/>
            <w:hideMark/>
          </w:tcPr>
          <w:p w14:paraId="5AB0C218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A3</w:t>
            </w:r>
          </w:p>
        </w:tc>
        <w:tc>
          <w:tcPr>
            <w:tcW w:w="1418" w:type="dxa"/>
            <w:vAlign w:val="center"/>
            <w:hideMark/>
          </w:tcPr>
          <w:p w14:paraId="4A1309C8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576B092F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LSIL: viegla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displāzija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: AR CPV nav atrasti: turpmāka izmeklēšana nav nepieciešama, analīzi atkārtoti veic pēc jaunas uzaicinājuma vēstules saņemšanas</w:t>
            </w:r>
          </w:p>
        </w:tc>
      </w:tr>
      <w:tr w:rsidR="009C7889" w:rsidRPr="00920231" w14:paraId="23C80E73" w14:textId="77777777" w:rsidTr="00762138">
        <w:trPr>
          <w:cantSplit/>
        </w:trPr>
        <w:tc>
          <w:tcPr>
            <w:tcW w:w="1162" w:type="dxa"/>
            <w:vMerge/>
            <w:vAlign w:val="center"/>
            <w:hideMark/>
          </w:tcPr>
          <w:p w14:paraId="457AC179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418" w:type="dxa"/>
            <w:vAlign w:val="center"/>
            <w:hideMark/>
          </w:tcPr>
          <w:p w14:paraId="115D125B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3A95E6E7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LSIL: viegla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displāzija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: AR CPV ir atrasti: jāveic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9C7889" w:rsidRPr="00920231" w14:paraId="1B13A6E3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4CDF2625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A4</w:t>
            </w:r>
          </w:p>
        </w:tc>
        <w:tc>
          <w:tcPr>
            <w:tcW w:w="1418" w:type="dxa"/>
            <w:vAlign w:val="center"/>
            <w:hideMark/>
          </w:tcPr>
          <w:p w14:paraId="27C74783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230F3FEA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HSIL: vidēja/smaga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displāzija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: jāveic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9C7889" w:rsidRPr="00920231" w14:paraId="3C3C33FB" w14:textId="77777777" w:rsidTr="00762138">
        <w:trPr>
          <w:cantSplit/>
        </w:trPr>
        <w:tc>
          <w:tcPr>
            <w:tcW w:w="1162" w:type="dxa"/>
            <w:vMerge w:val="restart"/>
            <w:vAlign w:val="center"/>
            <w:hideMark/>
          </w:tcPr>
          <w:p w14:paraId="5BF612C0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A5</w:t>
            </w:r>
          </w:p>
        </w:tc>
        <w:tc>
          <w:tcPr>
            <w:tcW w:w="1418" w:type="dxa"/>
            <w:vAlign w:val="center"/>
            <w:hideMark/>
          </w:tcPr>
          <w:p w14:paraId="0A3A4A1D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7939DF66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AGUS: neskaidras nozīmes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glandulārā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epitēlija šūnu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atipiskās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izmaiņas: AR CPV nav atrasti: turpmāka izmeklēšana nav nepieciešama, analīzi atkārtoti veic pēc jaunas uzaicinājuma vēstules saņemšanas</w:t>
            </w:r>
          </w:p>
        </w:tc>
      </w:tr>
      <w:tr w:rsidR="009C7889" w:rsidRPr="00920231" w14:paraId="093E9AF9" w14:textId="77777777" w:rsidTr="00762138">
        <w:trPr>
          <w:cantSplit/>
        </w:trPr>
        <w:tc>
          <w:tcPr>
            <w:tcW w:w="1162" w:type="dxa"/>
            <w:vMerge/>
            <w:vAlign w:val="center"/>
            <w:hideMark/>
          </w:tcPr>
          <w:p w14:paraId="6CA2FB9F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418" w:type="dxa"/>
            <w:vAlign w:val="center"/>
            <w:hideMark/>
          </w:tcPr>
          <w:p w14:paraId="439C01FD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5305313C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AGUS: neskaidras nozīmes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glandulārā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epitēlija šūnu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atipiskās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izmaiņas: AR CPV ir atrasti: jāveic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</w:t>
            </w:r>
            <w:proofErr w:type="spellEnd"/>
          </w:p>
        </w:tc>
      </w:tr>
      <w:tr w:rsidR="009C7889" w:rsidRPr="00920231" w14:paraId="3789C62C" w14:textId="77777777" w:rsidTr="00762138">
        <w:trPr>
          <w:cantSplit/>
        </w:trPr>
        <w:tc>
          <w:tcPr>
            <w:tcW w:w="1162" w:type="dxa"/>
            <w:vAlign w:val="center"/>
            <w:hideMark/>
          </w:tcPr>
          <w:p w14:paraId="41CC0392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920231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920231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A6</w:t>
            </w:r>
          </w:p>
        </w:tc>
        <w:tc>
          <w:tcPr>
            <w:tcW w:w="1418" w:type="dxa"/>
            <w:vAlign w:val="center"/>
            <w:hideMark/>
          </w:tcPr>
          <w:p w14:paraId="4AB1CBF5" w14:textId="77777777" w:rsidR="009C7889" w:rsidRPr="002D095D" w:rsidRDefault="009C7889" w:rsidP="007621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21EA60A1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Malignizācijas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pazīmes: nepieciešama konsultācija pie onkoloģijas ginekologa</w:t>
            </w:r>
          </w:p>
        </w:tc>
      </w:tr>
    </w:tbl>
    <w:p w14:paraId="3B845CFA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C7889" w:rsidRPr="00920231" w14:paraId="0A7BD8B3" w14:textId="77777777" w:rsidTr="00762138">
        <w:trPr>
          <w:cantSplit/>
        </w:trPr>
        <w:tc>
          <w:tcPr>
            <w:tcW w:w="14100" w:type="dxa"/>
            <w:vAlign w:val="center"/>
            <w:hideMark/>
          </w:tcPr>
          <w:p w14:paraId="5FEFB83D" w14:textId="77777777" w:rsidR="009C7889" w:rsidRPr="002D095D" w:rsidRDefault="009C7889" w:rsidP="00762138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Veidlapa ir nosūtījums uz norādītajām ārstniecības iestādēm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kolposkopijas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izmeklējumiem vai onkoloģijas ginekologa konsultācijas saņemšanai bez ģimenes ārsta nosūtījuma. Mēneša laikā pēc rezultātu saņemšanas veiciet pierakstu uz turpmākiem izmeklējumiem. Reģistrējoties obligāti informējiet, ka Jums ir šāda </w:t>
            </w:r>
            <w:proofErr w:type="spellStart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pēcskrīninga</w:t>
            </w:r>
            <w:proofErr w:type="spellEnd"/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izmeklējuma nosūtījuma veidlapa.</w:t>
            </w:r>
          </w:p>
        </w:tc>
      </w:tr>
    </w:tbl>
    <w:p w14:paraId="4C350B04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29F476F0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Ārstniecības iestādes turpmāku izmeklējumu veikšanai:</w:t>
      </w:r>
    </w:p>
    <w:p w14:paraId="2283B0E7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Rīgas Austrumu klīniskā universitātes slimnīca, Rīga, Hipokrāta iela 2, tālr. 67000610</w:t>
      </w:r>
    </w:p>
    <w:p w14:paraId="31264DFC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Liepājas reģionālā slimnīca, Liepāja, Slimnīcas iela 25, tālr. 63403231, 63403264</w:t>
      </w:r>
    </w:p>
    <w:p w14:paraId="258A7BA3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Daugavpils reģionālā slimnīca, Daugavpils, Viestura iela 5, Centra poliklīnikas reģistratūra, tālr. 65440856</w:t>
      </w:r>
    </w:p>
    <w:p w14:paraId="4CB5F3CE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7B570CA2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920231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Informācija:</w:t>
      </w:r>
    </w:p>
    <w:p w14:paraId="558CAB25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Lūdzu, glabājiet savus iepriekšējo izmeklējumu rezultātus pie sevis un, nākot uz konsultāciju, ņemiet tos līdzi!</w:t>
      </w:r>
    </w:p>
    <w:p w14:paraId="108E93DE" w14:textId="77777777" w:rsidR="009C7889" w:rsidRPr="002D095D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2D095D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Atcerieties, ka vēža diagnozi pierāda tikai un vienīgi audu šūnu izmeklējumu rezultāti!</w:t>
      </w:r>
    </w:p>
    <w:p w14:paraId="48CB74EE" w14:textId="77777777" w:rsidR="009C7889" w:rsidRPr="00920231" w:rsidRDefault="009C7889" w:rsidP="009C7889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9C7889" w:rsidRPr="00920231" w14:paraId="15A73B2F" w14:textId="77777777" w:rsidTr="00762138">
        <w:trPr>
          <w:cantSplit/>
        </w:trPr>
        <w:tc>
          <w:tcPr>
            <w:tcW w:w="8529" w:type="dxa"/>
            <w:vAlign w:val="center"/>
          </w:tcPr>
          <w:p w14:paraId="40519AAA" w14:textId="77777777" w:rsidR="009C7889" w:rsidRPr="00920231" w:rsidRDefault="009C7889" w:rsidP="00762138">
            <w:pPr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Ārstniecības persona</w:t>
            </w:r>
          </w:p>
        </w:tc>
      </w:tr>
      <w:tr w:rsidR="009C7889" w:rsidRPr="00920231" w14:paraId="5E77A833" w14:textId="77777777" w:rsidTr="00762138">
        <w:trPr>
          <w:cantSplit/>
          <w:trHeight w:val="340"/>
        </w:trPr>
        <w:tc>
          <w:tcPr>
            <w:tcW w:w="8529" w:type="dxa"/>
            <w:tcBorders>
              <w:bottom w:val="single" w:sz="4" w:space="0" w:color="auto"/>
            </w:tcBorders>
            <w:vAlign w:val="center"/>
          </w:tcPr>
          <w:p w14:paraId="4B96423B" w14:textId="77777777" w:rsidR="009C7889" w:rsidRPr="00920231" w:rsidRDefault="009C7889" w:rsidP="00762138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9C7889" w:rsidRPr="00920231" w14:paraId="592FBF51" w14:textId="77777777" w:rsidTr="00762138">
        <w:trPr>
          <w:cantSplit/>
        </w:trPr>
        <w:tc>
          <w:tcPr>
            <w:tcW w:w="8529" w:type="dxa"/>
            <w:tcBorders>
              <w:top w:val="single" w:sz="4" w:space="0" w:color="auto"/>
            </w:tcBorders>
          </w:tcPr>
          <w:p w14:paraId="2F7C9368" w14:textId="77777777" w:rsidR="009C7889" w:rsidRPr="00920231" w:rsidRDefault="009C7889" w:rsidP="00762138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</w:pPr>
            <w:r w:rsidRPr="002D095D"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  <w:t>(vārds, uzvārds, paraksts un personīgais spiedogs)"</w:t>
            </w:r>
          </w:p>
        </w:tc>
      </w:tr>
    </w:tbl>
    <w:p w14:paraId="193D4F79" w14:textId="77777777" w:rsidR="00BE7D51" w:rsidRPr="009C7889" w:rsidRDefault="00BE7D51" w:rsidP="009C7889"/>
    <w:sectPr w:rsidR="00BE7D51" w:rsidRPr="009C78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51"/>
    <w:rsid w:val="002B64A6"/>
    <w:rsid w:val="009C7889"/>
    <w:rsid w:val="00B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3144"/>
  <w15:chartTrackingRefBased/>
  <w15:docId w15:val="{DCE8B5F3-AE06-4120-9D78-429F63D9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5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D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D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D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D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D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D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D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D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D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7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D5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7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D5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D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C78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3154</Characters>
  <Application>Microsoft Office Word</Application>
  <DocSecurity>0</DocSecurity>
  <Lines>70</Lines>
  <Paragraphs>56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2</cp:revision>
  <dcterms:created xsi:type="dcterms:W3CDTF">2026-06-11T08:27:00Z</dcterms:created>
  <dcterms:modified xsi:type="dcterms:W3CDTF">2026-06-11T08:29:00Z</dcterms:modified>
</cp:coreProperties>
</file>